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F932E" w14:textId="55F491F3" w:rsidR="00613CA9" w:rsidRPr="00613CA9" w:rsidRDefault="00613CA9" w:rsidP="00613CA9">
      <w:pPr>
        <w:spacing w:before="120" w:after="120" w:line="360" w:lineRule="auto"/>
        <w:jc w:val="center"/>
        <w:rPr>
          <w:rFonts w:cs="Times New Roman"/>
          <w:b/>
          <w:bCs/>
          <w:sz w:val="28"/>
          <w:szCs w:val="28"/>
        </w:rPr>
      </w:pPr>
      <w:r w:rsidRPr="00613CA9">
        <w:rPr>
          <w:rFonts w:cs="Times New Roman"/>
          <w:b/>
          <w:bCs/>
          <w:sz w:val="28"/>
          <w:szCs w:val="28"/>
        </w:rPr>
        <w:t>THE IMPACT OF ETHIOPIA’S INTEGRATED BUDGET AND EXPENDITURE ACCOUNTING SYSTEM (IBEX) ON FINANCIAL MANAGEMENT OF DONOR-FUNDED GOVERNMENT PROJECTS</w:t>
      </w:r>
    </w:p>
    <w:p w14:paraId="019F6D06" w14:textId="77777777" w:rsidR="00613CA9" w:rsidRDefault="00613CA9" w:rsidP="00613CA9">
      <w:pPr>
        <w:spacing w:before="120" w:after="120" w:line="360" w:lineRule="auto"/>
        <w:jc w:val="center"/>
        <w:rPr>
          <w:rFonts w:cs="Times New Roman"/>
          <w:szCs w:val="24"/>
        </w:rPr>
      </w:pPr>
    </w:p>
    <w:p w14:paraId="4C9E458B" w14:textId="3651F7E2" w:rsidR="00613CA9" w:rsidRPr="00613CA9" w:rsidRDefault="00613CA9" w:rsidP="00613CA9">
      <w:pPr>
        <w:spacing w:before="120" w:after="120" w:line="360" w:lineRule="auto"/>
        <w:jc w:val="center"/>
        <w:rPr>
          <w:rFonts w:cs="Times New Roman"/>
          <w:szCs w:val="24"/>
        </w:rPr>
      </w:pPr>
      <w:r w:rsidRPr="00613CA9">
        <w:rPr>
          <w:rFonts w:cs="Times New Roman"/>
          <w:szCs w:val="24"/>
        </w:rPr>
        <w:t>SEBHATLEAB AMANUEL NEGUSSE</w:t>
      </w:r>
    </w:p>
    <w:p w14:paraId="5BAA7B88" w14:textId="77777777" w:rsidR="00613CA9" w:rsidRDefault="00613CA9" w:rsidP="00613CA9">
      <w:pPr>
        <w:spacing w:before="120" w:after="120" w:line="360" w:lineRule="auto"/>
        <w:jc w:val="center"/>
        <w:rPr>
          <w:rFonts w:cs="Times New Roman"/>
          <w:szCs w:val="24"/>
        </w:rPr>
      </w:pPr>
      <w:r w:rsidRPr="00613CA9">
        <w:rPr>
          <w:rFonts w:cs="Times New Roman"/>
          <w:szCs w:val="24"/>
        </w:rPr>
        <w:t xml:space="preserve">ADDIS ABABA UNIVERSITY, </w:t>
      </w:r>
    </w:p>
    <w:p w14:paraId="6EDECCD2" w14:textId="63AF6B0B" w:rsidR="00613CA9" w:rsidRPr="00613CA9" w:rsidRDefault="00613CA9" w:rsidP="00613CA9">
      <w:pPr>
        <w:spacing w:before="120" w:after="120" w:line="360" w:lineRule="auto"/>
        <w:jc w:val="center"/>
        <w:rPr>
          <w:rFonts w:cs="Times New Roman"/>
          <w:szCs w:val="24"/>
        </w:rPr>
      </w:pPr>
      <w:r w:rsidRPr="00613CA9">
        <w:rPr>
          <w:rFonts w:cs="Times New Roman"/>
          <w:szCs w:val="24"/>
        </w:rPr>
        <w:t>COLLEGE OF BUSINESS AND ECONOMICS</w:t>
      </w:r>
    </w:p>
    <w:p w14:paraId="746480A2" w14:textId="77777777" w:rsidR="00613CA9" w:rsidRPr="00613CA9" w:rsidRDefault="00613CA9" w:rsidP="00613CA9">
      <w:pPr>
        <w:spacing w:before="120" w:after="120" w:line="360" w:lineRule="auto"/>
        <w:jc w:val="both"/>
        <w:rPr>
          <w:rFonts w:cs="Times New Roman"/>
          <w:szCs w:val="24"/>
        </w:rPr>
      </w:pPr>
      <w:r w:rsidRPr="00613CA9">
        <w:pict w14:anchorId="7EE8DD11">
          <v:rect id="_x0000_i1073" style="width:0;height:.75pt" o:hralign="center" o:hrstd="t" o:hr="t" fillcolor="#a0a0a0" stroked="f"/>
        </w:pict>
      </w:r>
    </w:p>
    <w:p w14:paraId="4EA7B9DE" w14:textId="77777777"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Abstract</w:t>
      </w:r>
    </w:p>
    <w:p w14:paraId="13924C99" w14:textId="77777777" w:rsidR="00613CA9" w:rsidRPr="00613CA9" w:rsidRDefault="00613CA9" w:rsidP="00613CA9">
      <w:pPr>
        <w:spacing w:before="120" w:after="120" w:line="360" w:lineRule="auto"/>
        <w:jc w:val="both"/>
        <w:rPr>
          <w:rFonts w:cs="Times New Roman"/>
          <w:i/>
          <w:iCs/>
          <w:szCs w:val="24"/>
        </w:rPr>
      </w:pPr>
      <w:r w:rsidRPr="00613CA9">
        <w:rPr>
          <w:rFonts w:cs="Times New Roman"/>
          <w:i/>
          <w:iCs/>
          <w:szCs w:val="24"/>
        </w:rPr>
        <w:t>This study investigated the impact of Ethiopia’s Integrated Budget and Expenditure Accounting System (IBEX) on the financial management of donor</w:t>
      </w:r>
      <w:r w:rsidRPr="00613CA9">
        <w:rPr>
          <w:rFonts w:cs="Times New Roman"/>
          <w:i/>
          <w:iCs/>
          <w:szCs w:val="24"/>
        </w:rPr>
        <w:noBreakHyphen/>
        <w:t>funded government projects. Grounded in Agency Theory, Stewardship Theory, Diffusion of Innovations (DOI), and the TOE framework, the research conceptualized IBEX as a multidimensional construct comprising transparency, efficiency, compliance, integration, usability, and credibility. A quantitative cross</w:t>
      </w:r>
      <w:r w:rsidRPr="00613CA9">
        <w:rPr>
          <w:rFonts w:cs="Times New Roman"/>
          <w:i/>
          <w:iCs/>
          <w:szCs w:val="24"/>
        </w:rPr>
        <w:noBreakHyphen/>
        <w:t>sectional survey was conducted with 236 project managers, finance officers, accountants, and budget officers working on donor</w:t>
      </w:r>
      <w:r w:rsidRPr="00613CA9">
        <w:rPr>
          <w:rFonts w:cs="Times New Roman"/>
          <w:i/>
          <w:iCs/>
          <w:szCs w:val="24"/>
        </w:rPr>
        <w:noBreakHyphen/>
        <w:t>funded projects across Ethiopian regions. Multiple regression analysis revealed that the six IBEX attributes collectively explained 62.3% of the variance in financial management outcomes (R² = 0.623, p &lt; .001). System efficiency had the strongest effect (β = 0.271, p &lt; .001), followed by credibility (β = 0.215, p &lt; .001), transparency (β = 0.198, p = .001), compliance (β = 0.176, p = .002), integration (β = 0.148, p = .008), and usability (β = 0.123, p = .038). Despite notable gains in transparency, compliance, and credibility, challenges persist in system integration and usability, particularly regarding parallel reporting for donors and technical support. The study concludes that IBEX has significantly transformed public financial management in Ethiopia but requires targeted improvements to fully realize its potential for donor</w:t>
      </w:r>
      <w:r w:rsidRPr="00613CA9">
        <w:rPr>
          <w:rFonts w:cs="Times New Roman"/>
          <w:i/>
          <w:iCs/>
          <w:szCs w:val="24"/>
        </w:rPr>
        <w:noBreakHyphen/>
        <w:t>funded projects.</w:t>
      </w:r>
    </w:p>
    <w:p w14:paraId="6E913FFA" w14:textId="2C27F217" w:rsidR="00613CA9" w:rsidRPr="00613CA9" w:rsidRDefault="00613CA9" w:rsidP="00613CA9">
      <w:pPr>
        <w:spacing w:before="120" w:after="120" w:line="360" w:lineRule="auto"/>
        <w:jc w:val="both"/>
        <w:rPr>
          <w:rFonts w:cs="Times New Roman"/>
          <w:szCs w:val="24"/>
        </w:rPr>
      </w:pPr>
      <w:r w:rsidRPr="00613CA9">
        <w:rPr>
          <w:rFonts w:cs="Times New Roman"/>
          <w:b/>
          <w:bCs/>
          <w:szCs w:val="24"/>
        </w:rPr>
        <w:t>Keywords:</w:t>
      </w:r>
      <w:r w:rsidRPr="00613CA9">
        <w:rPr>
          <w:rFonts w:cs="Times New Roman"/>
          <w:szCs w:val="24"/>
        </w:rPr>
        <w:t> IBEX</w:t>
      </w:r>
      <w:r w:rsidRPr="00613CA9">
        <w:rPr>
          <w:rFonts w:cs="Times New Roman"/>
          <w:szCs w:val="24"/>
        </w:rPr>
        <w:t xml:space="preserve">, </w:t>
      </w:r>
      <w:r w:rsidRPr="00613CA9">
        <w:rPr>
          <w:rFonts w:cs="Times New Roman"/>
          <w:szCs w:val="24"/>
        </w:rPr>
        <w:t>Public Financial Management</w:t>
      </w:r>
      <w:r w:rsidRPr="00613CA9">
        <w:rPr>
          <w:rFonts w:cs="Times New Roman"/>
          <w:szCs w:val="24"/>
        </w:rPr>
        <w:t xml:space="preserve">, </w:t>
      </w:r>
      <w:r w:rsidRPr="00613CA9">
        <w:rPr>
          <w:rFonts w:cs="Times New Roman"/>
          <w:szCs w:val="24"/>
        </w:rPr>
        <w:t>Donor</w:t>
      </w:r>
      <w:r w:rsidRPr="00613CA9">
        <w:rPr>
          <w:rFonts w:cs="Times New Roman"/>
          <w:szCs w:val="24"/>
        </w:rPr>
        <w:noBreakHyphen/>
        <w:t xml:space="preserve">Funded Projects, </w:t>
      </w:r>
      <w:r w:rsidRPr="00613CA9">
        <w:rPr>
          <w:rFonts w:cs="Times New Roman"/>
          <w:szCs w:val="24"/>
        </w:rPr>
        <w:t xml:space="preserve">Financial </w:t>
      </w:r>
      <w:r w:rsidRPr="00613CA9">
        <w:rPr>
          <w:rFonts w:cs="Times New Roman"/>
          <w:szCs w:val="24"/>
        </w:rPr>
        <w:t xml:space="preserve">Management Outcomes, </w:t>
      </w:r>
      <w:r w:rsidRPr="00613CA9">
        <w:rPr>
          <w:rFonts w:cs="Times New Roman"/>
          <w:szCs w:val="24"/>
        </w:rPr>
        <w:t xml:space="preserve">System </w:t>
      </w:r>
      <w:r w:rsidRPr="00613CA9">
        <w:rPr>
          <w:rFonts w:cs="Times New Roman"/>
          <w:szCs w:val="24"/>
        </w:rPr>
        <w:t xml:space="preserve">Efficiency, </w:t>
      </w:r>
      <w:r w:rsidRPr="00613CA9">
        <w:rPr>
          <w:rFonts w:cs="Times New Roman"/>
          <w:szCs w:val="24"/>
        </w:rPr>
        <w:t xml:space="preserve">System </w:t>
      </w:r>
      <w:r w:rsidRPr="00613CA9">
        <w:rPr>
          <w:rFonts w:cs="Times New Roman"/>
          <w:szCs w:val="24"/>
        </w:rPr>
        <w:t>Credibility</w:t>
      </w:r>
    </w:p>
    <w:p w14:paraId="55505514" w14:textId="137F1E5F" w:rsidR="00613CA9" w:rsidRPr="00613CA9" w:rsidRDefault="00613CA9" w:rsidP="00613CA9">
      <w:pPr>
        <w:spacing w:before="120" w:after="120" w:line="360" w:lineRule="auto"/>
        <w:jc w:val="both"/>
        <w:rPr>
          <w:rFonts w:cs="Times New Roman"/>
          <w:szCs w:val="24"/>
        </w:rPr>
      </w:pPr>
    </w:p>
    <w:p w14:paraId="05DCB277" w14:textId="576942EA"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lastRenderedPageBreak/>
        <w:t>Introduction</w:t>
      </w:r>
    </w:p>
    <w:p w14:paraId="7EB73CAB"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Public Financial Management (PFM) is a cornerstone of effective governance, especially in developing countries where resource scarcity and external debt demand transparent and accountable use of public funds (</w:t>
      </w:r>
      <w:proofErr w:type="spellStart"/>
      <w:r w:rsidRPr="00613CA9">
        <w:rPr>
          <w:rFonts w:cs="Times New Roman"/>
          <w:szCs w:val="24"/>
        </w:rPr>
        <w:t>Mlawasi</w:t>
      </w:r>
      <w:proofErr w:type="spellEnd"/>
      <w:r w:rsidRPr="00613CA9">
        <w:rPr>
          <w:rFonts w:cs="Times New Roman"/>
          <w:szCs w:val="24"/>
        </w:rPr>
        <w:t>, 2025). In Sub</w:t>
      </w:r>
      <w:r w:rsidRPr="00613CA9">
        <w:rPr>
          <w:rFonts w:cs="Times New Roman"/>
          <w:szCs w:val="24"/>
        </w:rPr>
        <w:noBreakHyphen/>
        <w:t>Saharan Africa, robust PFM systems are critical for achieving national development goals and maintaining donor confidence. The Busan Partnership for Effective Development Cooperation (OECD, 2011) emphasized country ownership, mutual accountability, and the use of national financial systems as the default channel for development aid.</w:t>
      </w:r>
    </w:p>
    <w:p w14:paraId="569F6A39"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Ethiopia, a major recipient of development assistance, historically operated two parallel financial frameworks: the national PFM system and separate systems for donor</w:t>
      </w:r>
      <w:r w:rsidRPr="00613CA9">
        <w:rPr>
          <w:rFonts w:cs="Times New Roman"/>
          <w:szCs w:val="24"/>
        </w:rPr>
        <w:noBreakHyphen/>
        <w:t>funded projects (AfDB, 2022). Although this separation allowed rapid aid disbursement, it created inefficiencies, poor monitoring, and delayed financial reporting (Lemma, 2018). To address these challenges, the Ethiopian Ministry of Finance launched the Public Financial Management Reform Strategy (2023–2028) and implemented the Integrated Budget and Expenditure Accounting System (IBEX) (MoF, 2023). IBEX is an automated, real</w:t>
      </w:r>
      <w:r w:rsidRPr="00613CA9">
        <w:rPr>
          <w:rFonts w:cs="Times New Roman"/>
          <w:szCs w:val="24"/>
        </w:rPr>
        <w:noBreakHyphen/>
        <w:t>time platform designed to integrate budgeting, accounting, and reporting for all public finances, including donor</w:t>
      </w:r>
      <w:r w:rsidRPr="00613CA9">
        <w:rPr>
          <w:rFonts w:cs="Times New Roman"/>
          <w:szCs w:val="24"/>
        </w:rPr>
        <w:noBreakHyphen/>
        <w:t>funded projects such as the Productive Safety Net Program Phase Five (PSNP</w:t>
      </w:r>
      <w:r w:rsidRPr="00613CA9">
        <w:rPr>
          <w:rFonts w:cs="Times New Roman"/>
          <w:szCs w:val="24"/>
        </w:rPr>
        <w:noBreakHyphen/>
        <w:t>5) and the Urban Productive Safety Net and Jobs Project (UPSNJP) (EEAS, 2025).</w:t>
      </w:r>
    </w:p>
    <w:p w14:paraId="3CBB0185"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Despite IBEX’s promise, empirical evidence on its operational impact on donor</w:t>
      </w:r>
      <w:r w:rsidRPr="00613CA9">
        <w:rPr>
          <w:rFonts w:cs="Times New Roman"/>
          <w:szCs w:val="24"/>
        </w:rPr>
        <w:noBreakHyphen/>
        <w:t>funded projects remains scarce and anecdotal. Existing literature on PFM reforms in Ethiopia focuses on macro</w:t>
      </w:r>
      <w:r w:rsidRPr="00613CA9">
        <w:rPr>
          <w:rFonts w:cs="Times New Roman"/>
          <w:szCs w:val="24"/>
        </w:rPr>
        <w:noBreakHyphen/>
        <w:t xml:space="preserve">level fiscal parameters or compliance with aid effectiveness principles, largely neglecting the perceptions of frontline users. Moreover, experiences from Ghana (GIFMIS), Kenya (IFMIS), and Zambia show that system adoption alone does not guarantee success; issues such as user resistance, inadequate ICT infrastructure, and insufficient training often undermine intended benefits (Kinyua, 2003; Mohammed, 2017; </w:t>
      </w:r>
      <w:proofErr w:type="spellStart"/>
      <w:r w:rsidRPr="00613CA9">
        <w:rPr>
          <w:rFonts w:cs="Times New Roman"/>
          <w:szCs w:val="24"/>
        </w:rPr>
        <w:t>Sikabanga</w:t>
      </w:r>
      <w:proofErr w:type="spellEnd"/>
      <w:r w:rsidRPr="00613CA9">
        <w:rPr>
          <w:rFonts w:cs="Times New Roman"/>
          <w:szCs w:val="24"/>
        </w:rPr>
        <w:t xml:space="preserve"> &amp; </w:t>
      </w:r>
      <w:proofErr w:type="spellStart"/>
      <w:r w:rsidRPr="00613CA9">
        <w:rPr>
          <w:rFonts w:cs="Times New Roman"/>
          <w:szCs w:val="24"/>
        </w:rPr>
        <w:t>Haabazoka</w:t>
      </w:r>
      <w:proofErr w:type="spellEnd"/>
      <w:r w:rsidRPr="00613CA9">
        <w:rPr>
          <w:rFonts w:cs="Times New Roman"/>
          <w:szCs w:val="24"/>
        </w:rPr>
        <w:t>, 2025).</w:t>
      </w:r>
    </w:p>
    <w:p w14:paraId="6D362BF9"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This study therefore fills a critical research gap by empirically examining how six specific IBEX attributes—transparency, efficiency, compliance, integration, usability, and credibility—affect financial management outcomes in donor</w:t>
      </w:r>
      <w:r w:rsidRPr="00613CA9">
        <w:rPr>
          <w:rFonts w:cs="Times New Roman"/>
          <w:szCs w:val="24"/>
        </w:rPr>
        <w:noBreakHyphen/>
        <w:t>funded government projects in Ethiopia. The findings provide actionable insights for policymakers, development partners, and project managers seeking to optimize IBEX for enhanced fiscal accountability and aid effectiveness.</w:t>
      </w:r>
    </w:p>
    <w:p w14:paraId="5241D56F" w14:textId="77777777" w:rsidR="00613CA9" w:rsidRPr="00613CA9" w:rsidRDefault="00613CA9" w:rsidP="00613CA9">
      <w:pPr>
        <w:spacing w:before="120" w:after="120" w:line="360" w:lineRule="auto"/>
        <w:jc w:val="both"/>
        <w:rPr>
          <w:rFonts w:cs="Times New Roman"/>
          <w:szCs w:val="24"/>
        </w:rPr>
      </w:pPr>
      <w:r w:rsidRPr="00613CA9">
        <w:pict w14:anchorId="333408A4">
          <v:rect id="_x0000_i1075" style="width:0;height:.75pt" o:hralign="center" o:hrstd="t" o:hr="t" fillcolor="#a0a0a0" stroked="f"/>
        </w:pict>
      </w:r>
    </w:p>
    <w:p w14:paraId="42A5E568" w14:textId="76187774"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lastRenderedPageBreak/>
        <w:t>Literature Review</w:t>
      </w:r>
    </w:p>
    <w:p w14:paraId="715E97B3" w14:textId="3129BE6C"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Theoretical Framework</w:t>
      </w:r>
    </w:p>
    <w:p w14:paraId="54EEB4D3"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This study integrates four complementary theories to explain the relationship between IBEX attributes and financial management outcomes.</w:t>
      </w:r>
    </w:p>
    <w:p w14:paraId="649BD3CC"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Agency Theory</w:t>
      </w:r>
      <w:r w:rsidRPr="00613CA9">
        <w:rPr>
          <w:rFonts w:cs="Times New Roman"/>
          <w:szCs w:val="24"/>
        </w:rPr>
        <w:t> (Jensen &amp; Meckling, 1976) posits that information asymmetry between principals (donors) and agents (implementing agencies) can lead to moral hazard and conflicting interests. IBEX, as a real</w:t>
      </w:r>
      <w:r w:rsidRPr="00613CA9">
        <w:rPr>
          <w:rFonts w:cs="Times New Roman"/>
          <w:szCs w:val="24"/>
        </w:rPr>
        <w:noBreakHyphen/>
        <w:t>time financial monitoring system, reduces this asymmetry by providing transparent, standardized data on budget execution and expenditures. This aligns with the aid effectiveness principle of mutual accountability (OECD, 2011).</w:t>
      </w:r>
    </w:p>
    <w:p w14:paraId="49192E72"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Stewardship Theory</w:t>
      </w:r>
      <w:r w:rsidRPr="00613CA9">
        <w:rPr>
          <w:rFonts w:cs="Times New Roman"/>
          <w:szCs w:val="24"/>
        </w:rPr>
        <w:t> (Davis, Schoorman, &amp; Donaldson, 1997) assumes that public sector employees are intrinsically motivated to serve organizational goals. From this perspective, IBEX should empower stewards to perform their duties more effectively, not merely coerce compliance. System attributes such as usability and credibility become critical for fostering voluntary adoption and effective use (</w:t>
      </w:r>
      <w:proofErr w:type="spellStart"/>
      <w:r w:rsidRPr="00613CA9">
        <w:rPr>
          <w:rFonts w:cs="Times New Roman"/>
          <w:szCs w:val="24"/>
        </w:rPr>
        <w:t>Mlawasi</w:t>
      </w:r>
      <w:proofErr w:type="spellEnd"/>
      <w:r w:rsidRPr="00613CA9">
        <w:rPr>
          <w:rFonts w:cs="Times New Roman"/>
          <w:szCs w:val="24"/>
        </w:rPr>
        <w:t>, 2025).</w:t>
      </w:r>
    </w:p>
    <w:p w14:paraId="6617B67C"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Diffusion of Innovations (DOI) Theory</w:t>
      </w:r>
      <w:r w:rsidRPr="00613CA9">
        <w:rPr>
          <w:rFonts w:cs="Times New Roman"/>
          <w:szCs w:val="24"/>
        </w:rPr>
        <w:t> (Rogers, 2003) explains technology adoption through five key attributes: relative advantage, compatibility, complexity, trialability, and observability. This study operationalizes IBEX attributes as: transparency and efficiency (relative advantage); integration (compatibility); usability (the inverse of complexity); and credibility (observability of results). DOI theory justifies the multidimensional measurement approach.</w:t>
      </w:r>
    </w:p>
    <w:p w14:paraId="36C0A28B"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Technological</w:t>
      </w:r>
      <w:r w:rsidRPr="00613CA9">
        <w:rPr>
          <w:rFonts w:cs="Times New Roman"/>
          <w:b/>
          <w:bCs/>
          <w:szCs w:val="24"/>
        </w:rPr>
        <w:noBreakHyphen/>
        <w:t>Organizational</w:t>
      </w:r>
      <w:r w:rsidRPr="00613CA9">
        <w:rPr>
          <w:rFonts w:cs="Times New Roman"/>
          <w:b/>
          <w:bCs/>
          <w:szCs w:val="24"/>
        </w:rPr>
        <w:noBreakHyphen/>
        <w:t>Environmental (TOE) Framework</w:t>
      </w:r>
      <w:r w:rsidRPr="00613CA9">
        <w:rPr>
          <w:rFonts w:cs="Times New Roman"/>
          <w:szCs w:val="24"/>
        </w:rPr>
        <w:t> (</w:t>
      </w:r>
      <w:proofErr w:type="spellStart"/>
      <w:r w:rsidRPr="00613CA9">
        <w:rPr>
          <w:rFonts w:cs="Times New Roman"/>
          <w:szCs w:val="24"/>
        </w:rPr>
        <w:t>Tornatzky</w:t>
      </w:r>
      <w:proofErr w:type="spellEnd"/>
      <w:r w:rsidRPr="00613CA9">
        <w:rPr>
          <w:rFonts w:cs="Times New Roman"/>
          <w:szCs w:val="24"/>
        </w:rPr>
        <w:t xml:space="preserve"> &amp; Fleischer, 1990) adds contextual factors. It suggests that successful IBEX implementation depends not only on technological features but also on organizational capacities (e.g., staff competence, top management support) and environmental factors (e.g., donor requirements, regulatory policies). This framework guided the inclusion of control variables and the interpretation of unexplained variance.</w:t>
      </w:r>
    </w:p>
    <w:p w14:paraId="17286CC4" w14:textId="6D1E6AFC"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Conceptualization of Variables</w:t>
      </w:r>
    </w:p>
    <w:p w14:paraId="04E14C83"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IBEX System Attributes (Independent Variables):</w:t>
      </w:r>
    </w:p>
    <w:p w14:paraId="5240DEA2"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Transparency:</w:t>
      </w:r>
      <w:r w:rsidRPr="00613CA9">
        <w:rPr>
          <w:rFonts w:cs="Times New Roman"/>
          <w:szCs w:val="24"/>
        </w:rPr>
        <w:t> Visibility of budget allocations, expenditures, and audit trails (ACCA, 2024).</w:t>
      </w:r>
    </w:p>
    <w:p w14:paraId="1DA9CAAA"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lastRenderedPageBreak/>
        <w:t>Efficiency:</w:t>
      </w:r>
      <w:r w:rsidRPr="00613CA9">
        <w:rPr>
          <w:rFonts w:cs="Times New Roman"/>
          <w:szCs w:val="24"/>
        </w:rPr>
        <w:t> Speed and accuracy of transaction processing, reduction of manual effort (Mohammed, 2017).</w:t>
      </w:r>
    </w:p>
    <w:p w14:paraId="15D09F1F"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Compliance:</w:t>
      </w:r>
      <w:r w:rsidRPr="00613CA9">
        <w:rPr>
          <w:rFonts w:cs="Times New Roman"/>
          <w:szCs w:val="24"/>
        </w:rPr>
        <w:t> Adherence to national financial regulations and donor</w:t>
      </w:r>
      <w:r w:rsidRPr="00613CA9">
        <w:rPr>
          <w:rFonts w:cs="Times New Roman"/>
          <w:szCs w:val="24"/>
        </w:rPr>
        <w:noBreakHyphen/>
        <w:t>specific reporting requirements (Nhial et al., 2025).</w:t>
      </w:r>
    </w:p>
    <w:p w14:paraId="7F75270C"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Integration:</w:t>
      </w:r>
      <w:r w:rsidRPr="00613CA9">
        <w:rPr>
          <w:rFonts w:cs="Times New Roman"/>
          <w:szCs w:val="24"/>
        </w:rPr>
        <w:t xml:space="preserve"> Incorporation of donor project financial data into the national IBEX system, eliminating parallel records (de </w:t>
      </w:r>
      <w:proofErr w:type="spellStart"/>
      <w:r w:rsidRPr="00613CA9">
        <w:rPr>
          <w:rFonts w:cs="Times New Roman"/>
          <w:szCs w:val="24"/>
        </w:rPr>
        <w:t>Renzio</w:t>
      </w:r>
      <w:proofErr w:type="spellEnd"/>
      <w:r w:rsidRPr="00613CA9">
        <w:rPr>
          <w:rFonts w:cs="Times New Roman"/>
          <w:szCs w:val="24"/>
        </w:rPr>
        <w:t xml:space="preserve"> et al., 2010).</w:t>
      </w:r>
    </w:p>
    <w:p w14:paraId="4C67FFCE"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Usability:</w:t>
      </w:r>
      <w:r w:rsidRPr="00613CA9">
        <w:rPr>
          <w:rFonts w:cs="Times New Roman"/>
          <w:szCs w:val="24"/>
        </w:rPr>
        <w:t> Ease of learning, interface intuitiveness, availability of training and technical support (Haile, 2025).</w:t>
      </w:r>
    </w:p>
    <w:p w14:paraId="4CCD52D5" w14:textId="77777777" w:rsidR="00613CA9" w:rsidRPr="00613CA9" w:rsidRDefault="00613CA9" w:rsidP="00613CA9">
      <w:pPr>
        <w:pStyle w:val="ListParagraph"/>
        <w:numPr>
          <w:ilvl w:val="0"/>
          <w:numId w:val="13"/>
        </w:numPr>
        <w:spacing w:before="120" w:after="120" w:line="360" w:lineRule="auto"/>
        <w:jc w:val="both"/>
        <w:rPr>
          <w:rFonts w:cs="Times New Roman"/>
          <w:szCs w:val="24"/>
        </w:rPr>
      </w:pPr>
      <w:r w:rsidRPr="00613CA9">
        <w:rPr>
          <w:rFonts w:cs="Times New Roman"/>
          <w:b/>
          <w:bCs/>
          <w:szCs w:val="24"/>
        </w:rPr>
        <w:t>Credibility:</w:t>
      </w:r>
      <w:r w:rsidRPr="00613CA9">
        <w:rPr>
          <w:rFonts w:cs="Times New Roman"/>
          <w:szCs w:val="24"/>
        </w:rPr>
        <w:t> Stakeholder (especially donor) trust in the accuracy and reliability of IBEX</w:t>
      </w:r>
      <w:r w:rsidRPr="00613CA9">
        <w:rPr>
          <w:rFonts w:cs="Times New Roman"/>
          <w:szCs w:val="24"/>
        </w:rPr>
        <w:noBreakHyphen/>
        <w:t>generated reports (</w:t>
      </w:r>
      <w:proofErr w:type="spellStart"/>
      <w:r w:rsidRPr="00613CA9">
        <w:rPr>
          <w:rFonts w:cs="Times New Roman"/>
          <w:szCs w:val="24"/>
        </w:rPr>
        <w:t>Chalu</w:t>
      </w:r>
      <w:proofErr w:type="spellEnd"/>
      <w:r w:rsidRPr="00613CA9">
        <w:rPr>
          <w:rFonts w:cs="Times New Roman"/>
          <w:szCs w:val="24"/>
        </w:rPr>
        <w:t>, 2019).</w:t>
      </w:r>
    </w:p>
    <w:p w14:paraId="28BB5D04" w14:textId="77777777" w:rsidR="00613CA9" w:rsidRPr="00613CA9" w:rsidRDefault="00613CA9" w:rsidP="00613CA9">
      <w:pPr>
        <w:pStyle w:val="ListParagraph"/>
        <w:numPr>
          <w:ilvl w:val="0"/>
          <w:numId w:val="13"/>
        </w:numPr>
        <w:spacing w:before="120" w:after="120" w:line="360" w:lineRule="auto"/>
        <w:jc w:val="both"/>
        <w:rPr>
          <w:rFonts w:cs="Times New Roman"/>
          <w:b/>
          <w:bCs/>
          <w:szCs w:val="24"/>
        </w:rPr>
      </w:pPr>
      <w:r w:rsidRPr="00613CA9">
        <w:rPr>
          <w:rFonts w:cs="Times New Roman"/>
          <w:b/>
          <w:bCs/>
          <w:szCs w:val="24"/>
        </w:rPr>
        <w:t>Financial Management Outcomes (Dependent Variable):</w:t>
      </w:r>
    </w:p>
    <w:p w14:paraId="7BEF9CC7" w14:textId="36EC2FDB" w:rsidR="00613CA9" w:rsidRPr="00613CA9" w:rsidRDefault="00613CA9" w:rsidP="00613CA9">
      <w:pPr>
        <w:spacing w:before="120" w:after="120" w:line="360" w:lineRule="auto"/>
        <w:jc w:val="both"/>
        <w:rPr>
          <w:rFonts w:cs="Times New Roman"/>
          <w:szCs w:val="24"/>
        </w:rPr>
      </w:pPr>
      <w:r w:rsidRPr="00613CA9">
        <w:rPr>
          <w:rFonts w:cs="Times New Roman"/>
          <w:szCs w:val="24"/>
        </w:rPr>
        <w:t>A composite measure of four indicators: timeliness of financial reporting, stakeholder satisfaction, capacity building, and decision support. This multidimensional approach captures both the efficiency and effectiveness of project financial management (MoF, 2023; DPG</w:t>
      </w:r>
      <w:r w:rsidRPr="00613CA9">
        <w:rPr>
          <w:rFonts w:cs="Times New Roman"/>
          <w:szCs w:val="24"/>
        </w:rPr>
        <w:noBreakHyphen/>
        <w:t>Ethiopia, 2024).</w:t>
      </w:r>
    </w:p>
    <w:p w14:paraId="325E719C" w14:textId="02A3C0F3"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Empirical Review and Hypotheses</w:t>
      </w:r>
    </w:p>
    <w:p w14:paraId="6C393620"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Previous IFMIS studies across Africa have shown mixed but generally positive impacts. In Tanzania, IFMIS adoption improved financial information reliability but not relevance (</w:t>
      </w:r>
      <w:proofErr w:type="spellStart"/>
      <w:r w:rsidRPr="00613CA9">
        <w:rPr>
          <w:rFonts w:cs="Times New Roman"/>
          <w:szCs w:val="24"/>
        </w:rPr>
        <w:t>Chalu</w:t>
      </w:r>
      <w:proofErr w:type="spellEnd"/>
      <w:r w:rsidRPr="00613CA9">
        <w:rPr>
          <w:rFonts w:cs="Times New Roman"/>
          <w:szCs w:val="24"/>
        </w:rPr>
        <w:t>, 2019). Ghana’s GIFMIS enhanced payment processing but faced decentralization challenges (Mohammed, 2022). Zambia’s IFMIS increased accuracy and budget compliance but suffered from system downtimes (</w:t>
      </w:r>
      <w:proofErr w:type="spellStart"/>
      <w:r w:rsidRPr="00613CA9">
        <w:rPr>
          <w:rFonts w:cs="Times New Roman"/>
          <w:szCs w:val="24"/>
        </w:rPr>
        <w:t>Sikabanga</w:t>
      </w:r>
      <w:proofErr w:type="spellEnd"/>
      <w:r w:rsidRPr="00613CA9">
        <w:rPr>
          <w:rFonts w:cs="Times New Roman"/>
          <w:szCs w:val="24"/>
        </w:rPr>
        <w:t xml:space="preserve"> &amp; </w:t>
      </w:r>
      <w:proofErr w:type="spellStart"/>
      <w:r w:rsidRPr="00613CA9">
        <w:rPr>
          <w:rFonts w:cs="Times New Roman"/>
          <w:szCs w:val="24"/>
        </w:rPr>
        <w:t>Haabazoka</w:t>
      </w:r>
      <w:proofErr w:type="spellEnd"/>
      <w:r w:rsidRPr="00613CA9">
        <w:rPr>
          <w:rFonts w:cs="Times New Roman"/>
          <w:szCs w:val="24"/>
        </w:rPr>
        <w:t>, 2025). In Ethiopia, Haile (2025) identified staff resistance, low technical capacity, and inadequate infrastructure as barriers to IFMIS performance.</w:t>
      </w:r>
    </w:p>
    <w:p w14:paraId="69DE5C43"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Based on this theoretical and empirical foundation, the following hypotheses were formulated:</w:t>
      </w:r>
    </w:p>
    <w:p w14:paraId="12867340" w14:textId="245CA4BF"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H1:</w:t>
      </w:r>
      <w:r w:rsidRPr="00613CA9">
        <w:rPr>
          <w:rFonts w:cs="Times New Roman"/>
          <w:szCs w:val="24"/>
        </w:rPr>
        <w:t> System transparency has a significant positive effect on financial management.</w:t>
      </w:r>
    </w:p>
    <w:p w14:paraId="4B0009DC" w14:textId="77777777"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H2:</w:t>
      </w:r>
      <w:r w:rsidRPr="00613CA9">
        <w:rPr>
          <w:rFonts w:cs="Times New Roman"/>
          <w:szCs w:val="24"/>
        </w:rPr>
        <w:t> System efficiency has a significant positive effect on financial management.</w:t>
      </w:r>
    </w:p>
    <w:p w14:paraId="5B870BD2" w14:textId="77777777"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H3:</w:t>
      </w:r>
      <w:r w:rsidRPr="00613CA9">
        <w:rPr>
          <w:rFonts w:cs="Times New Roman"/>
          <w:szCs w:val="24"/>
        </w:rPr>
        <w:t> System compliance has a significant positive effect on financial management.</w:t>
      </w:r>
    </w:p>
    <w:p w14:paraId="66DD5B64" w14:textId="77777777"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H4:</w:t>
      </w:r>
      <w:r w:rsidRPr="00613CA9">
        <w:rPr>
          <w:rFonts w:cs="Times New Roman"/>
          <w:szCs w:val="24"/>
        </w:rPr>
        <w:t> System integration has a significant positive effect on financial management.</w:t>
      </w:r>
    </w:p>
    <w:p w14:paraId="5507FEF1" w14:textId="77777777"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H5:</w:t>
      </w:r>
      <w:r w:rsidRPr="00613CA9">
        <w:rPr>
          <w:rFonts w:cs="Times New Roman"/>
          <w:szCs w:val="24"/>
        </w:rPr>
        <w:t> System usability has a significant positive effect on financial management.</w:t>
      </w:r>
    </w:p>
    <w:p w14:paraId="2ECC47CE" w14:textId="77777777" w:rsidR="00613CA9" w:rsidRPr="00613CA9" w:rsidRDefault="00613CA9" w:rsidP="00613CA9">
      <w:pPr>
        <w:spacing w:before="120" w:after="120" w:line="360" w:lineRule="auto"/>
        <w:ind w:left="283"/>
        <w:jc w:val="both"/>
        <w:rPr>
          <w:rFonts w:cs="Times New Roman"/>
          <w:szCs w:val="24"/>
        </w:rPr>
      </w:pPr>
      <w:r w:rsidRPr="00613CA9">
        <w:rPr>
          <w:rFonts w:cs="Times New Roman"/>
          <w:b/>
          <w:bCs/>
          <w:szCs w:val="24"/>
        </w:rPr>
        <w:t>H6:</w:t>
      </w:r>
      <w:r w:rsidRPr="00613CA9">
        <w:rPr>
          <w:rFonts w:cs="Times New Roman"/>
          <w:szCs w:val="24"/>
        </w:rPr>
        <w:t> System credibility has a significant positive effect on financial management.</w:t>
      </w:r>
    </w:p>
    <w:p w14:paraId="7F5B1330" w14:textId="567E459E" w:rsidR="00613CA9" w:rsidRPr="00613CA9" w:rsidRDefault="00613CA9" w:rsidP="00613CA9">
      <w:pPr>
        <w:spacing w:before="120" w:after="120" w:line="360" w:lineRule="auto"/>
        <w:jc w:val="both"/>
        <w:rPr>
          <w:rFonts w:cs="Times New Roman"/>
          <w:b/>
          <w:bCs/>
          <w:szCs w:val="24"/>
        </w:rPr>
      </w:pPr>
      <w:r>
        <w:rPr>
          <w:rFonts w:cs="Times New Roman"/>
          <w:b/>
          <w:bCs/>
          <w:szCs w:val="24"/>
        </w:rPr>
        <w:lastRenderedPageBreak/>
        <w:t xml:space="preserve">Research </w:t>
      </w:r>
      <w:r w:rsidRPr="00613CA9">
        <w:rPr>
          <w:rFonts w:cs="Times New Roman"/>
          <w:b/>
          <w:bCs/>
          <w:szCs w:val="24"/>
        </w:rPr>
        <w:t>Methodology</w:t>
      </w:r>
    </w:p>
    <w:p w14:paraId="63FC1ABC" w14:textId="27C90A62"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Research Design</w:t>
      </w:r>
      <w:r>
        <w:rPr>
          <w:rFonts w:cs="Times New Roman"/>
          <w:b/>
          <w:bCs/>
          <w:szCs w:val="24"/>
        </w:rPr>
        <w:t xml:space="preserve"> and Methods</w:t>
      </w:r>
    </w:p>
    <w:p w14:paraId="599A99B4"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A quantitative, cross</w:t>
      </w:r>
      <w:r w:rsidRPr="00613CA9">
        <w:rPr>
          <w:rFonts w:cs="Times New Roman"/>
          <w:szCs w:val="24"/>
        </w:rPr>
        <w:noBreakHyphen/>
        <w:t>sectional, explanatory research design was employed. This approach allowed hypothesis testing, statistical generalization, and assessment of causal relationships between IBEX attributes and financial management outcomes (Saunders et al., 2019).</w:t>
      </w:r>
    </w:p>
    <w:p w14:paraId="07250660" w14:textId="0F74D4B3" w:rsidR="00613CA9" w:rsidRPr="00613CA9" w:rsidRDefault="00613CA9" w:rsidP="00613CA9">
      <w:pPr>
        <w:spacing w:before="120" w:after="120" w:line="360" w:lineRule="auto"/>
        <w:jc w:val="both"/>
        <w:rPr>
          <w:rFonts w:cs="Times New Roman"/>
          <w:szCs w:val="24"/>
        </w:rPr>
      </w:pPr>
      <w:r w:rsidRPr="00613CA9">
        <w:rPr>
          <w:rFonts w:cs="Times New Roman"/>
          <w:b/>
          <w:bCs/>
          <w:szCs w:val="24"/>
        </w:rPr>
        <w:t>Population and Sampling</w:t>
      </w:r>
      <w:r>
        <w:rPr>
          <w:rFonts w:cs="Times New Roman"/>
          <w:b/>
          <w:bCs/>
          <w:szCs w:val="24"/>
        </w:rPr>
        <w:t xml:space="preserve"> - </w:t>
      </w:r>
      <w:r w:rsidRPr="00613CA9">
        <w:rPr>
          <w:rFonts w:cs="Times New Roman"/>
          <w:szCs w:val="24"/>
        </w:rPr>
        <w:t>The target population comprised 620 finance and accounting professionals working on donor</w:t>
      </w:r>
      <w:r w:rsidRPr="00613CA9">
        <w:rPr>
          <w:rFonts w:cs="Times New Roman"/>
          <w:szCs w:val="24"/>
        </w:rPr>
        <w:noBreakHyphen/>
        <w:t>funded government projects (e.g., PSNP</w:t>
      </w:r>
      <w:r w:rsidRPr="00613CA9">
        <w:rPr>
          <w:rFonts w:cs="Times New Roman"/>
          <w:szCs w:val="24"/>
        </w:rPr>
        <w:noBreakHyphen/>
        <w:t>5, UPSNJP) across 14 Ethiopian regions and the Ministry of Finance. Using Yamane’s formula (1967) with a 5% margin of error and adding 10% for non</w:t>
      </w:r>
      <w:r w:rsidRPr="00613CA9">
        <w:rPr>
          <w:rFonts w:cs="Times New Roman"/>
          <w:szCs w:val="24"/>
        </w:rPr>
        <w:noBreakHyphen/>
        <w:t>response, the required sample size was 267. A stratified random sampling technique was applied based on two criteria: (1) regional/woreda implementation level and (2) major donor funding source (World Bank, UN agencies, EU, FCDO, Irish Aid). This ensured proportional representation across strata.</w:t>
      </w:r>
    </w:p>
    <w:p w14:paraId="651F5D95" w14:textId="498897C0" w:rsidR="00613CA9" w:rsidRPr="00613CA9" w:rsidRDefault="00613CA9" w:rsidP="00613CA9">
      <w:pPr>
        <w:spacing w:before="120" w:after="120" w:line="360" w:lineRule="auto"/>
        <w:jc w:val="both"/>
        <w:rPr>
          <w:rFonts w:cs="Times New Roman"/>
          <w:szCs w:val="24"/>
        </w:rPr>
      </w:pPr>
      <w:r w:rsidRPr="00613CA9">
        <w:rPr>
          <w:rFonts w:cs="Times New Roman"/>
          <w:b/>
          <w:bCs/>
          <w:szCs w:val="24"/>
        </w:rPr>
        <w:t>Data Collection and Instrument</w:t>
      </w:r>
      <w:r>
        <w:rPr>
          <w:rFonts w:cs="Times New Roman"/>
          <w:b/>
          <w:bCs/>
          <w:szCs w:val="24"/>
        </w:rPr>
        <w:t xml:space="preserve"> - </w:t>
      </w:r>
      <w:r w:rsidRPr="00613CA9">
        <w:rPr>
          <w:rFonts w:cs="Times New Roman"/>
          <w:szCs w:val="24"/>
        </w:rPr>
        <w:t>Primary data were collected using a structured questionnaire with three sections: (A) demographic and organizational information; (B) 30 items measuring six IBEX attributes (5 items per attribute); (C) 5 items measuring financial management outcomes. All items used a 5</w:t>
      </w:r>
      <w:r w:rsidRPr="00613CA9">
        <w:rPr>
          <w:rFonts w:cs="Times New Roman"/>
          <w:szCs w:val="24"/>
        </w:rPr>
        <w:noBreakHyphen/>
        <w:t xml:space="preserve">point Likert scale (1 = strongly disagree, 5 = strongly agree). The instrument was adapted from validated scales in PFM and IFMIS literature (Mohammed, 2017; </w:t>
      </w:r>
      <w:proofErr w:type="spellStart"/>
      <w:r w:rsidRPr="00613CA9">
        <w:rPr>
          <w:rFonts w:cs="Times New Roman"/>
          <w:szCs w:val="24"/>
        </w:rPr>
        <w:t>Mlawasi</w:t>
      </w:r>
      <w:proofErr w:type="spellEnd"/>
      <w:r w:rsidRPr="00613CA9">
        <w:rPr>
          <w:rFonts w:cs="Times New Roman"/>
          <w:szCs w:val="24"/>
        </w:rPr>
        <w:t>, 2025; Gebremedhin &amp; Mulugeta, 2025). A pilot study with 30 respondents (excluded from the main sample) ensured clarity and relevance.</w:t>
      </w:r>
    </w:p>
    <w:p w14:paraId="200478DD" w14:textId="6D16B8FD" w:rsidR="00613CA9" w:rsidRPr="00613CA9" w:rsidRDefault="00613CA9" w:rsidP="00613CA9">
      <w:pPr>
        <w:spacing w:before="120" w:after="120" w:line="360" w:lineRule="auto"/>
        <w:jc w:val="both"/>
        <w:rPr>
          <w:rFonts w:cs="Times New Roman"/>
          <w:szCs w:val="24"/>
        </w:rPr>
      </w:pPr>
      <w:r w:rsidRPr="00613CA9">
        <w:rPr>
          <w:rFonts w:cs="Times New Roman"/>
          <w:b/>
          <w:bCs/>
          <w:szCs w:val="24"/>
        </w:rPr>
        <w:t>Validity and Reliability</w:t>
      </w:r>
      <w:r>
        <w:rPr>
          <w:rFonts w:cs="Times New Roman"/>
          <w:b/>
          <w:bCs/>
          <w:szCs w:val="24"/>
        </w:rPr>
        <w:t xml:space="preserve"> - </w:t>
      </w:r>
      <w:r w:rsidRPr="00613CA9">
        <w:rPr>
          <w:rFonts w:cs="Times New Roman"/>
          <w:szCs w:val="24"/>
        </w:rPr>
        <w:t>Content validity was established through review by academic supervisors and PFM specialists. Construct validity was ensured by using items from prior validated studies. Reliability was assessed using Cronbach’s alpha: transparency (0.862), efficiency (0.845), compliance (0.838), integration (0.829), usability (0.817), credibility (0.856), and financial management outcomes (0.874). The overall reliability coefficient was 0.941, indicating excellent internal consistency (Hair et al., 2019).</w:t>
      </w:r>
    </w:p>
    <w:p w14:paraId="414DDFBC" w14:textId="3C7B5261" w:rsidR="00613CA9" w:rsidRPr="00613CA9" w:rsidRDefault="00613CA9" w:rsidP="00613CA9">
      <w:pPr>
        <w:spacing w:before="120" w:after="120" w:line="360" w:lineRule="auto"/>
        <w:jc w:val="both"/>
        <w:rPr>
          <w:rFonts w:cs="Times New Roman"/>
          <w:szCs w:val="24"/>
        </w:rPr>
      </w:pPr>
      <w:r w:rsidRPr="00613CA9">
        <w:rPr>
          <w:rFonts w:cs="Times New Roman"/>
          <w:b/>
          <w:bCs/>
          <w:szCs w:val="24"/>
        </w:rPr>
        <w:t>Data Analysis</w:t>
      </w:r>
      <w:r>
        <w:rPr>
          <w:rFonts w:cs="Times New Roman"/>
          <w:b/>
          <w:bCs/>
          <w:szCs w:val="24"/>
        </w:rPr>
        <w:t xml:space="preserve"> - </w:t>
      </w:r>
      <w:r w:rsidRPr="00613CA9">
        <w:rPr>
          <w:rFonts w:cs="Times New Roman"/>
          <w:szCs w:val="24"/>
        </w:rPr>
        <w:t>Data were analyzed using SPSS. Descriptive statistics (frequencies, means, standard deviations) summarized respondent characteristics and item responses. Inferential analysis included Pearson correlation, multiple regression assumption tests (multicollinearity, normality, linearity, homoscedasticity), and multiple linear regression. The regression model was specified as:</w:t>
      </w:r>
    </w:p>
    <w:p w14:paraId="638D04A3" w14:textId="77777777" w:rsidR="00613CA9" w:rsidRPr="00613CA9" w:rsidRDefault="00613CA9" w:rsidP="00613CA9">
      <w:pPr>
        <w:spacing w:before="120" w:after="120" w:line="360" w:lineRule="auto"/>
        <w:jc w:val="center"/>
        <w:rPr>
          <w:rFonts w:cs="Times New Roman"/>
          <w:szCs w:val="24"/>
        </w:rPr>
      </w:pPr>
      <w:r w:rsidRPr="00613CA9">
        <w:rPr>
          <w:rFonts w:cs="Times New Roman"/>
          <w:b/>
          <w:bCs/>
          <w:szCs w:val="24"/>
        </w:rPr>
        <w:lastRenderedPageBreak/>
        <w:t>FMO = β₀ + β₁TR + β₂EF + β₃CM + β₄IN + β₅US + β₆CR + ε</w:t>
      </w:r>
    </w:p>
    <w:p w14:paraId="33F7DD26"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Where FMO = Financial Management Outcomes, TR = Transparency, EF = Efficiency, CM = Compliance, IN = Integration, US = Usability, CR = Credibility.</w:t>
      </w:r>
    </w:p>
    <w:p w14:paraId="46EBBEEA" w14:textId="402352BB"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Ethical Considerations</w:t>
      </w:r>
    </w:p>
    <w:p w14:paraId="5D07F51E"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Participation was voluntary, informed consent was obtained, anonymity was guaranteed, and formal approval was secured from the Ministry of Finance.</w:t>
      </w:r>
    </w:p>
    <w:p w14:paraId="3A757005" w14:textId="18A5994A"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Results</w:t>
      </w:r>
    </w:p>
    <w:p w14:paraId="46575365" w14:textId="24CD3BC0"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Response Rate and Demographics</w:t>
      </w:r>
    </w:p>
    <w:p w14:paraId="1F2732E5"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Of 267 distributed questionnaires, 248 were returned (92.9% response rate). After excluding 12 incomplete or inconsistent responses, 236 valid questionnaires (88.4%) were analyzed. The sample comprised 58.9% male, 41.1% female; 66.5% were aged 31–50 years; 86.8% held at least a bachelor’s degree; 82.6% had over 5 years of professional experience; 47.5% had 4–6 years of IBEX experience; and 50.0% were finance officers/accountants. The majority (65%) were from woreda</w:t>
      </w:r>
      <w:r w:rsidRPr="00613CA9">
        <w:rPr>
          <w:rFonts w:cs="Times New Roman"/>
          <w:szCs w:val="24"/>
        </w:rPr>
        <w:noBreakHyphen/>
        <w:t>level finance bureaus, ensuring frontline perspectives.</w:t>
      </w:r>
    </w:p>
    <w:p w14:paraId="3DD82F91" w14:textId="5F16C983"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Descriptive Statistics of IBEX Attributes</w:t>
      </w:r>
    </w:p>
    <w:p w14:paraId="29A5A63E"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Transparency</w:t>
      </w:r>
      <w:r w:rsidRPr="00613CA9">
        <w:rPr>
          <w:rFonts w:cs="Times New Roman"/>
          <w:szCs w:val="24"/>
        </w:rPr>
        <w:t> (Grand Mean = 3.73, SD = 0.986): Respondents agreed that IBEX provides clear budget visibility (M = 3.92) and traceable processes (M = 3.81). However, direct donor access to financial information was rated lower (M = 3.45).</w:t>
      </w:r>
    </w:p>
    <w:p w14:paraId="52E766D3"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Efficiency</w:t>
      </w:r>
      <w:r w:rsidRPr="00613CA9">
        <w:rPr>
          <w:rFonts w:cs="Times New Roman"/>
          <w:szCs w:val="24"/>
        </w:rPr>
        <w:t> (Grand Mean = 3.59, SD = 1.043): Faster report generation (M = 3.82) and transaction accuracy (M = 3.71) were strengths, but manual data entry reduction (M = 3.38) and workflow streamlining (M = 3.49) scored lower.</w:t>
      </w:r>
    </w:p>
    <w:p w14:paraId="12607F60"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Compliance</w:t>
      </w:r>
      <w:r w:rsidRPr="00613CA9">
        <w:rPr>
          <w:rFonts w:cs="Times New Roman"/>
          <w:szCs w:val="24"/>
        </w:rPr>
        <w:t> (Grand Mean = 3.78, SD = 0.979): This was the highest</w:t>
      </w:r>
      <w:r w:rsidRPr="00613CA9">
        <w:rPr>
          <w:rFonts w:cs="Times New Roman"/>
          <w:szCs w:val="24"/>
        </w:rPr>
        <w:noBreakHyphen/>
        <w:t>rated attribute. Adherence to government regulations (M = 3.96) and procurement laws (M = 3.88) were strong, but donor</w:t>
      </w:r>
      <w:r w:rsidRPr="00613CA9">
        <w:rPr>
          <w:rFonts w:cs="Times New Roman"/>
          <w:szCs w:val="24"/>
        </w:rPr>
        <w:noBreakHyphen/>
        <w:t>specific reporting compliance (M = 3.51) lagged.</w:t>
      </w:r>
    </w:p>
    <w:p w14:paraId="1B034DBC"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Integration</w:t>
      </w:r>
      <w:r w:rsidRPr="00613CA9">
        <w:rPr>
          <w:rFonts w:cs="Times New Roman"/>
          <w:szCs w:val="24"/>
        </w:rPr>
        <w:t> (Grand Mean = 3.31, SD = 1.126): Budget integration (M = 3.52) and data incorporation (M = 3.41) were moderate, but eliminating parallel records for donor reporting received the lowest rating among all items (M = 2.98), indicating persistent dual</w:t>
      </w:r>
      <w:r w:rsidRPr="00613CA9">
        <w:rPr>
          <w:rFonts w:cs="Times New Roman"/>
          <w:szCs w:val="24"/>
        </w:rPr>
        <w:noBreakHyphen/>
        <w:t>system practices.</w:t>
      </w:r>
    </w:p>
    <w:p w14:paraId="68C9E030"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lastRenderedPageBreak/>
        <w:t>Usability</w:t>
      </w:r>
      <w:r w:rsidRPr="00613CA9">
        <w:rPr>
          <w:rFonts w:cs="Times New Roman"/>
          <w:szCs w:val="24"/>
        </w:rPr>
        <w:t> (Grand Mean = 3.20, SD = 1.142): This was the lowest</w:t>
      </w:r>
      <w:r w:rsidRPr="00613CA9">
        <w:rPr>
          <w:rFonts w:cs="Times New Roman"/>
          <w:szCs w:val="24"/>
        </w:rPr>
        <w:noBreakHyphen/>
        <w:t>rated attribute. Technical support availability (M = 2.95) and training adequacy (M = 3.18) were particular concerns, although simplification of complex processes (M = 3.36) was acknowledged.</w:t>
      </w:r>
    </w:p>
    <w:p w14:paraId="23AA88CD" w14:textId="77777777" w:rsidR="00613CA9" w:rsidRPr="00613CA9" w:rsidRDefault="00613CA9" w:rsidP="00613CA9">
      <w:pPr>
        <w:spacing w:before="120" w:after="120" w:line="360" w:lineRule="auto"/>
        <w:jc w:val="both"/>
        <w:rPr>
          <w:rFonts w:cs="Times New Roman"/>
          <w:szCs w:val="24"/>
        </w:rPr>
      </w:pPr>
      <w:r w:rsidRPr="00613CA9">
        <w:rPr>
          <w:rFonts w:cs="Times New Roman"/>
          <w:b/>
          <w:bCs/>
          <w:szCs w:val="24"/>
        </w:rPr>
        <w:t>Credibility</w:t>
      </w:r>
      <w:r w:rsidRPr="00613CA9">
        <w:rPr>
          <w:rFonts w:cs="Times New Roman"/>
          <w:szCs w:val="24"/>
        </w:rPr>
        <w:t> (Grand Mean = 3.64, SD = 1.031): Internal trust (management: M = 3.76; auditors: M = 3.65) was high, but donor confidence in IBEX reports (M = 3.48) was relatively lower.</w:t>
      </w:r>
    </w:p>
    <w:p w14:paraId="604EE182" w14:textId="63788E2C"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Financial Management Outcomes</w:t>
      </w:r>
    </w:p>
    <w:p w14:paraId="6F357B27" w14:textId="77777777" w:rsidR="00613CA9" w:rsidRDefault="00613CA9" w:rsidP="00613CA9">
      <w:pPr>
        <w:spacing w:before="120" w:after="120" w:line="360" w:lineRule="auto"/>
        <w:jc w:val="both"/>
        <w:rPr>
          <w:rFonts w:cs="Times New Roman"/>
          <w:szCs w:val="24"/>
        </w:rPr>
      </w:pPr>
      <w:r w:rsidRPr="00613CA9">
        <w:rPr>
          <w:rFonts w:cs="Times New Roman"/>
          <w:szCs w:val="24"/>
        </w:rPr>
        <w:t>The dependent variable had a grand mean of 3.68 (SD = 0.987). Decision support (performance monitoring: M = 3.83) and timeliness of information (M = 3.75) were rated highest. Donor satisfaction (M = 3.48) was again the lowest, consistent with earlier external</w:t>
      </w:r>
      <w:r w:rsidRPr="00613CA9">
        <w:rPr>
          <w:rFonts w:cs="Times New Roman"/>
          <w:szCs w:val="24"/>
        </w:rPr>
        <w:noBreakHyphen/>
        <w:t>stakeholder patterns.</w:t>
      </w:r>
      <w:bookmarkStart w:id="0" w:name="_Toc229990270"/>
    </w:p>
    <w:p w14:paraId="5D814817" w14:textId="08E25DCF" w:rsidR="00613CA9" w:rsidRPr="00613CA9" w:rsidRDefault="00613CA9" w:rsidP="00613CA9">
      <w:pPr>
        <w:spacing w:before="120" w:after="120" w:line="360" w:lineRule="auto"/>
        <w:jc w:val="both"/>
        <w:rPr>
          <w:rFonts w:cs="Times New Roman"/>
          <w:szCs w:val="24"/>
        </w:rPr>
      </w:pPr>
      <w:r w:rsidRPr="00613CA9">
        <w:rPr>
          <w:rFonts w:eastAsiaTheme="majorEastAsia"/>
          <w:b/>
          <w:bCs/>
          <w:iCs/>
          <w:color w:val="000000" w:themeColor="text1"/>
          <w:kern w:val="32"/>
          <w:sz w:val="28"/>
          <w:szCs w:val="28"/>
          <w14:ligatures w14:val="none"/>
        </w:rPr>
        <w:t>Inferential Analysis</w:t>
      </w:r>
      <w:bookmarkEnd w:id="0"/>
      <w:r w:rsidRPr="00613CA9">
        <w:rPr>
          <w:rFonts w:eastAsiaTheme="majorEastAsia"/>
          <w:b/>
          <w:bCs/>
          <w:iCs/>
          <w:color w:val="000000" w:themeColor="text1"/>
          <w:kern w:val="32"/>
          <w:sz w:val="28"/>
          <w:szCs w:val="28"/>
          <w14:ligatures w14:val="none"/>
        </w:rPr>
        <w:t xml:space="preserve"> </w:t>
      </w:r>
    </w:p>
    <w:p w14:paraId="0675E5E4" w14:textId="77777777" w:rsidR="00613CA9" w:rsidRDefault="00613CA9" w:rsidP="00613CA9">
      <w:pPr>
        <w:spacing w:before="120" w:after="120" w:line="360" w:lineRule="auto"/>
        <w:jc w:val="both"/>
        <w:rPr>
          <w:rFonts w:cs="Times New Roman"/>
          <w:szCs w:val="24"/>
        </w:rPr>
      </w:pPr>
      <w:r w:rsidRPr="005100C7">
        <w:rPr>
          <w:rFonts w:cs="Times New Roman"/>
          <w:szCs w:val="24"/>
        </w:rPr>
        <w:t>The inferential statistics enable the researcher to not only describe but also make generalizations about the study findings from the sample of 236 participants to the entire population of donor-sponsored projects. The analysis involves correlation test, assumption checks, and multiple regression analysis in that order.</w:t>
      </w:r>
      <w:bookmarkStart w:id="1" w:name="_Toc229990271"/>
    </w:p>
    <w:p w14:paraId="74A8BD84" w14:textId="42C4797F" w:rsidR="00613CA9" w:rsidRPr="00613CA9" w:rsidRDefault="00613CA9" w:rsidP="00613CA9">
      <w:pPr>
        <w:spacing w:before="120" w:after="120" w:line="360" w:lineRule="auto"/>
        <w:jc w:val="both"/>
        <w:rPr>
          <w:rFonts w:cs="Times New Roman"/>
          <w:szCs w:val="24"/>
        </w:rPr>
      </w:pPr>
      <w:r w:rsidRPr="00613CA9">
        <w:rPr>
          <w:rFonts w:eastAsiaTheme="majorEastAsia"/>
          <w:b/>
          <w:bCs/>
          <w:iCs/>
          <w:color w:val="000000" w:themeColor="text1"/>
          <w:kern w:val="32"/>
          <w:szCs w:val="24"/>
          <w14:ligatures w14:val="none"/>
        </w:rPr>
        <w:t>Correlation Test</w:t>
      </w:r>
      <w:bookmarkEnd w:id="1"/>
    </w:p>
    <w:p w14:paraId="087B6C37" w14:textId="77777777" w:rsidR="00613CA9" w:rsidRPr="00ED41AC" w:rsidRDefault="00613CA9" w:rsidP="00613CA9">
      <w:pPr>
        <w:spacing w:before="120" w:after="120" w:line="360" w:lineRule="auto"/>
        <w:jc w:val="both"/>
        <w:rPr>
          <w:rFonts w:cs="Times New Roman"/>
          <w:szCs w:val="24"/>
        </w:rPr>
      </w:pPr>
      <w:r w:rsidRPr="005100C7">
        <w:rPr>
          <w:rFonts w:cs="Times New Roman"/>
          <w:szCs w:val="24"/>
        </w:rPr>
        <w:t>To examine if there were any significant associations among the variables of the IBEX framework and the financial management-related outcome measures, the Pearson product–moment correlation coefficient was used. As explained by Field (2005), relationship strength is classified based on the following criteria: when correlation coefficients range between 0.10 and 0.29, it means that there exists a weak relationship; when correlation coefficients range between 0.30 and 0.49, it means that there exists a moderate relationship; and when correlation coefficients equal or exceed 0.50, it means that there exists a strong relationship.</w:t>
      </w:r>
    </w:p>
    <w:p w14:paraId="01F325D1" w14:textId="0B32FE9A" w:rsidR="00613CA9" w:rsidRPr="005100C7" w:rsidRDefault="00613CA9" w:rsidP="00613CA9">
      <w:pPr>
        <w:spacing w:before="120" w:after="120" w:line="360" w:lineRule="auto"/>
        <w:jc w:val="both"/>
        <w:rPr>
          <w:rFonts w:cs="Times New Roman"/>
          <w:szCs w:val="24"/>
        </w:rPr>
      </w:pPr>
      <w:bookmarkStart w:id="2" w:name="_Toc229990393"/>
      <w:r w:rsidRPr="005100C7">
        <w:rPr>
          <w:rFonts w:cs="Times New Roman"/>
          <w:szCs w:val="24"/>
        </w:rPr>
        <w:t xml:space="preserve">According to Table </w:t>
      </w:r>
      <w:r>
        <w:rPr>
          <w:rFonts w:cs="Times New Roman"/>
          <w:szCs w:val="24"/>
        </w:rPr>
        <w:t>1</w:t>
      </w:r>
      <w:r w:rsidRPr="005100C7">
        <w:rPr>
          <w:rFonts w:cs="Times New Roman"/>
          <w:szCs w:val="24"/>
        </w:rPr>
        <w:t>, there is a very strong positive correlation between all the attributes of the system under consideration and FMO. The correlations between all of the attributes mentioned and the dependent variable reached significance at the 0.01 level. Thus, the influence of all six attributes of the IBEX system on the dependent variable was found to be statistically significant.</w:t>
      </w:r>
    </w:p>
    <w:p w14:paraId="67FE805D" w14:textId="77777777" w:rsidR="00613CA9" w:rsidRPr="005100C7" w:rsidRDefault="00613CA9" w:rsidP="00613CA9">
      <w:pPr>
        <w:spacing w:before="120" w:after="120" w:line="360" w:lineRule="auto"/>
        <w:jc w:val="both"/>
        <w:rPr>
          <w:rFonts w:cs="Times New Roman"/>
          <w:szCs w:val="24"/>
        </w:rPr>
      </w:pPr>
      <w:r w:rsidRPr="005100C7">
        <w:rPr>
          <w:rFonts w:cs="Times New Roman"/>
          <w:szCs w:val="24"/>
        </w:rPr>
        <w:t xml:space="preserve">It should be noted that Efficiency proved to be the attribute with the strongest correlation to FMO (r = .621, p &lt; .01). However, there were several other highly correlated attributes, including </w:t>
      </w:r>
      <w:r w:rsidRPr="005100C7">
        <w:rPr>
          <w:rFonts w:cs="Times New Roman"/>
          <w:szCs w:val="24"/>
        </w:rPr>
        <w:lastRenderedPageBreak/>
        <w:t>Credibility (r = .598, p &lt; .01) and Transparency (r = .587, p &lt; .01). Compliance (r = .568, p &lt; .01) was also identified as an attribute significantly influencing FMO. There were also two moderately high correlations, which involved Integration (r = .542, p &lt; .01) and Usability (r = .509, p &lt; .01).</w:t>
      </w:r>
    </w:p>
    <w:p w14:paraId="298F6DE5" w14:textId="21094524" w:rsidR="00613CA9" w:rsidRPr="00ED41AC" w:rsidRDefault="00613CA9" w:rsidP="00613CA9">
      <w:pPr>
        <w:spacing w:before="120" w:after="0" w:line="360" w:lineRule="auto"/>
        <w:jc w:val="both"/>
        <w:rPr>
          <w:rFonts w:cs="Times New Roman"/>
          <w:szCs w:val="24"/>
        </w:rPr>
      </w:pPr>
      <w:r w:rsidRPr="00E736F4">
        <w:rPr>
          <w:rFonts w:eastAsia="Times New Roman"/>
          <w:color w:val="181717"/>
          <w:szCs w:val="24"/>
        </w:rPr>
        <w:t xml:space="preserve">Table </w:t>
      </w:r>
      <w:r>
        <w:rPr>
          <w:rFonts w:eastAsia="Times New Roman"/>
          <w:color w:val="181717"/>
          <w:szCs w:val="24"/>
        </w:rPr>
        <w:t>1.</w:t>
      </w:r>
      <w:r w:rsidRPr="00E736F4">
        <w:rPr>
          <w:rFonts w:eastAsia="Times New Roman"/>
          <w:color w:val="181717"/>
          <w:szCs w:val="24"/>
        </w:rPr>
        <w:t xml:space="preserve"> </w:t>
      </w:r>
      <w:r w:rsidRPr="00ED41AC">
        <w:rPr>
          <w:rFonts w:cs="Times New Roman"/>
          <w:szCs w:val="24"/>
        </w:rPr>
        <w:t>Correlation Matrix</w:t>
      </w:r>
      <w:bookmarkEnd w:id="2"/>
    </w:p>
    <w:tbl>
      <w:tblPr>
        <w:tblStyle w:val="TableGridLight1"/>
        <w:tblW w:w="0" w:type="auto"/>
        <w:tblLook w:val="04A0" w:firstRow="1" w:lastRow="0" w:firstColumn="1" w:lastColumn="0" w:noHBand="0" w:noVBand="1"/>
      </w:tblPr>
      <w:tblGrid>
        <w:gridCol w:w="3846"/>
        <w:gridCol w:w="821"/>
        <w:gridCol w:w="821"/>
        <w:gridCol w:w="821"/>
        <w:gridCol w:w="821"/>
        <w:gridCol w:w="821"/>
        <w:gridCol w:w="821"/>
        <w:gridCol w:w="693"/>
      </w:tblGrid>
      <w:tr w:rsidR="00613CA9" w:rsidRPr="00ED41AC" w14:paraId="11A551C8" w14:textId="77777777" w:rsidTr="001332DE">
        <w:tc>
          <w:tcPr>
            <w:tcW w:w="0" w:type="auto"/>
            <w:hideMark/>
          </w:tcPr>
          <w:p w14:paraId="7E77A934" w14:textId="77777777" w:rsidR="00613CA9" w:rsidRPr="00ED41AC" w:rsidRDefault="00613CA9" w:rsidP="001332DE">
            <w:pPr>
              <w:spacing w:after="0" w:line="360" w:lineRule="auto"/>
              <w:jc w:val="both"/>
              <w:rPr>
                <w:rFonts w:cs="Times New Roman"/>
                <w:sz w:val="22"/>
              </w:rPr>
            </w:pPr>
          </w:p>
        </w:tc>
        <w:tc>
          <w:tcPr>
            <w:tcW w:w="0" w:type="auto"/>
            <w:hideMark/>
          </w:tcPr>
          <w:p w14:paraId="4FA326E0" w14:textId="77777777" w:rsidR="00613CA9" w:rsidRPr="00ED41AC" w:rsidRDefault="00613CA9" w:rsidP="001332DE">
            <w:pPr>
              <w:spacing w:after="0" w:line="360" w:lineRule="auto"/>
              <w:jc w:val="both"/>
              <w:rPr>
                <w:rFonts w:cs="Times New Roman"/>
                <w:sz w:val="22"/>
              </w:rPr>
            </w:pPr>
            <w:r w:rsidRPr="00ED41AC">
              <w:rPr>
                <w:rFonts w:cs="Times New Roman"/>
                <w:sz w:val="22"/>
              </w:rPr>
              <w:t>TR</w:t>
            </w:r>
          </w:p>
        </w:tc>
        <w:tc>
          <w:tcPr>
            <w:tcW w:w="0" w:type="auto"/>
            <w:hideMark/>
          </w:tcPr>
          <w:p w14:paraId="41174A4C" w14:textId="77777777" w:rsidR="00613CA9" w:rsidRPr="00ED41AC" w:rsidRDefault="00613CA9" w:rsidP="001332DE">
            <w:pPr>
              <w:spacing w:after="0" w:line="360" w:lineRule="auto"/>
              <w:jc w:val="both"/>
              <w:rPr>
                <w:rFonts w:cs="Times New Roman"/>
                <w:sz w:val="22"/>
              </w:rPr>
            </w:pPr>
            <w:r w:rsidRPr="00ED41AC">
              <w:rPr>
                <w:rFonts w:cs="Times New Roman"/>
                <w:sz w:val="22"/>
              </w:rPr>
              <w:t>EF</w:t>
            </w:r>
          </w:p>
        </w:tc>
        <w:tc>
          <w:tcPr>
            <w:tcW w:w="0" w:type="auto"/>
            <w:hideMark/>
          </w:tcPr>
          <w:p w14:paraId="358A272B" w14:textId="77777777" w:rsidR="00613CA9" w:rsidRPr="00ED41AC" w:rsidRDefault="00613CA9" w:rsidP="001332DE">
            <w:pPr>
              <w:spacing w:after="0" w:line="360" w:lineRule="auto"/>
              <w:jc w:val="both"/>
              <w:rPr>
                <w:rFonts w:cs="Times New Roman"/>
                <w:sz w:val="22"/>
              </w:rPr>
            </w:pPr>
            <w:r w:rsidRPr="00ED41AC">
              <w:rPr>
                <w:rFonts w:cs="Times New Roman"/>
                <w:sz w:val="22"/>
              </w:rPr>
              <w:t>CM</w:t>
            </w:r>
          </w:p>
        </w:tc>
        <w:tc>
          <w:tcPr>
            <w:tcW w:w="0" w:type="auto"/>
            <w:hideMark/>
          </w:tcPr>
          <w:p w14:paraId="100D6322" w14:textId="77777777" w:rsidR="00613CA9" w:rsidRPr="00ED41AC" w:rsidRDefault="00613CA9" w:rsidP="001332DE">
            <w:pPr>
              <w:spacing w:after="0" w:line="360" w:lineRule="auto"/>
              <w:jc w:val="both"/>
              <w:rPr>
                <w:rFonts w:cs="Times New Roman"/>
                <w:sz w:val="22"/>
              </w:rPr>
            </w:pPr>
            <w:r w:rsidRPr="00ED41AC">
              <w:rPr>
                <w:rFonts w:cs="Times New Roman"/>
                <w:sz w:val="22"/>
              </w:rPr>
              <w:t>IN</w:t>
            </w:r>
          </w:p>
        </w:tc>
        <w:tc>
          <w:tcPr>
            <w:tcW w:w="0" w:type="auto"/>
            <w:hideMark/>
          </w:tcPr>
          <w:p w14:paraId="6CA0BFE7" w14:textId="77777777" w:rsidR="00613CA9" w:rsidRPr="00ED41AC" w:rsidRDefault="00613CA9" w:rsidP="001332DE">
            <w:pPr>
              <w:spacing w:after="0" w:line="360" w:lineRule="auto"/>
              <w:jc w:val="both"/>
              <w:rPr>
                <w:rFonts w:cs="Times New Roman"/>
                <w:sz w:val="22"/>
              </w:rPr>
            </w:pPr>
            <w:r w:rsidRPr="00ED41AC">
              <w:rPr>
                <w:rFonts w:cs="Times New Roman"/>
                <w:sz w:val="22"/>
              </w:rPr>
              <w:t>US</w:t>
            </w:r>
          </w:p>
        </w:tc>
        <w:tc>
          <w:tcPr>
            <w:tcW w:w="0" w:type="auto"/>
            <w:hideMark/>
          </w:tcPr>
          <w:p w14:paraId="6DEEF5BB" w14:textId="77777777" w:rsidR="00613CA9" w:rsidRPr="00ED41AC" w:rsidRDefault="00613CA9" w:rsidP="001332DE">
            <w:pPr>
              <w:spacing w:after="0" w:line="360" w:lineRule="auto"/>
              <w:jc w:val="both"/>
              <w:rPr>
                <w:rFonts w:cs="Times New Roman"/>
                <w:sz w:val="22"/>
              </w:rPr>
            </w:pPr>
            <w:r w:rsidRPr="00ED41AC">
              <w:rPr>
                <w:rFonts w:cs="Times New Roman"/>
                <w:sz w:val="22"/>
              </w:rPr>
              <w:t>CR</w:t>
            </w:r>
          </w:p>
        </w:tc>
        <w:tc>
          <w:tcPr>
            <w:tcW w:w="0" w:type="auto"/>
            <w:hideMark/>
          </w:tcPr>
          <w:p w14:paraId="0355E7AC" w14:textId="77777777" w:rsidR="00613CA9" w:rsidRPr="00ED41AC" w:rsidRDefault="00613CA9" w:rsidP="001332DE">
            <w:pPr>
              <w:spacing w:after="0" w:line="360" w:lineRule="auto"/>
              <w:jc w:val="both"/>
              <w:rPr>
                <w:rFonts w:cs="Times New Roman"/>
                <w:sz w:val="22"/>
              </w:rPr>
            </w:pPr>
            <w:r w:rsidRPr="00ED41AC">
              <w:rPr>
                <w:rFonts w:cs="Times New Roman"/>
                <w:sz w:val="22"/>
              </w:rPr>
              <w:t>FMO</w:t>
            </w:r>
          </w:p>
        </w:tc>
      </w:tr>
      <w:tr w:rsidR="00613CA9" w:rsidRPr="00ED41AC" w14:paraId="79183716" w14:textId="77777777" w:rsidTr="001332DE">
        <w:tc>
          <w:tcPr>
            <w:tcW w:w="0" w:type="auto"/>
            <w:hideMark/>
          </w:tcPr>
          <w:p w14:paraId="0E3F2426" w14:textId="77777777" w:rsidR="00613CA9" w:rsidRPr="00ED41AC" w:rsidRDefault="00613CA9" w:rsidP="001332DE">
            <w:pPr>
              <w:spacing w:after="0" w:line="360" w:lineRule="auto"/>
              <w:jc w:val="both"/>
              <w:rPr>
                <w:rFonts w:cs="Times New Roman"/>
                <w:sz w:val="22"/>
              </w:rPr>
            </w:pPr>
            <w:r w:rsidRPr="00ED41AC">
              <w:rPr>
                <w:rFonts w:cs="Times New Roman"/>
                <w:sz w:val="22"/>
              </w:rPr>
              <w:t>TR - Transparency</w:t>
            </w:r>
          </w:p>
        </w:tc>
        <w:tc>
          <w:tcPr>
            <w:tcW w:w="0" w:type="auto"/>
            <w:hideMark/>
          </w:tcPr>
          <w:p w14:paraId="275A8C04"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57BA307F" w14:textId="77777777" w:rsidR="00613CA9" w:rsidRPr="00ED41AC" w:rsidRDefault="00613CA9" w:rsidP="001332DE">
            <w:pPr>
              <w:spacing w:after="0" w:line="360" w:lineRule="auto"/>
              <w:jc w:val="both"/>
              <w:rPr>
                <w:rFonts w:cs="Times New Roman"/>
                <w:sz w:val="22"/>
              </w:rPr>
            </w:pPr>
          </w:p>
        </w:tc>
        <w:tc>
          <w:tcPr>
            <w:tcW w:w="0" w:type="auto"/>
            <w:hideMark/>
          </w:tcPr>
          <w:p w14:paraId="1CE35713" w14:textId="77777777" w:rsidR="00613CA9" w:rsidRPr="00ED41AC" w:rsidRDefault="00613CA9" w:rsidP="001332DE">
            <w:pPr>
              <w:spacing w:after="0" w:line="360" w:lineRule="auto"/>
              <w:jc w:val="both"/>
              <w:rPr>
                <w:rFonts w:cs="Times New Roman"/>
                <w:sz w:val="22"/>
              </w:rPr>
            </w:pPr>
          </w:p>
        </w:tc>
        <w:tc>
          <w:tcPr>
            <w:tcW w:w="0" w:type="auto"/>
            <w:hideMark/>
          </w:tcPr>
          <w:p w14:paraId="58902CB2" w14:textId="77777777" w:rsidR="00613CA9" w:rsidRPr="00ED41AC" w:rsidRDefault="00613CA9" w:rsidP="001332DE">
            <w:pPr>
              <w:spacing w:after="0" w:line="360" w:lineRule="auto"/>
              <w:jc w:val="both"/>
              <w:rPr>
                <w:rFonts w:cs="Times New Roman"/>
                <w:sz w:val="22"/>
              </w:rPr>
            </w:pPr>
          </w:p>
        </w:tc>
        <w:tc>
          <w:tcPr>
            <w:tcW w:w="0" w:type="auto"/>
            <w:hideMark/>
          </w:tcPr>
          <w:p w14:paraId="2E0F9CBB" w14:textId="77777777" w:rsidR="00613CA9" w:rsidRPr="00ED41AC" w:rsidRDefault="00613CA9" w:rsidP="001332DE">
            <w:pPr>
              <w:spacing w:after="0" w:line="360" w:lineRule="auto"/>
              <w:jc w:val="both"/>
              <w:rPr>
                <w:rFonts w:cs="Times New Roman"/>
                <w:sz w:val="22"/>
              </w:rPr>
            </w:pPr>
          </w:p>
        </w:tc>
        <w:tc>
          <w:tcPr>
            <w:tcW w:w="0" w:type="auto"/>
            <w:hideMark/>
          </w:tcPr>
          <w:p w14:paraId="27FC7346" w14:textId="77777777" w:rsidR="00613CA9" w:rsidRPr="00ED41AC" w:rsidRDefault="00613CA9" w:rsidP="001332DE">
            <w:pPr>
              <w:spacing w:after="0" w:line="360" w:lineRule="auto"/>
              <w:jc w:val="both"/>
              <w:rPr>
                <w:rFonts w:cs="Times New Roman"/>
                <w:sz w:val="22"/>
              </w:rPr>
            </w:pPr>
          </w:p>
        </w:tc>
        <w:tc>
          <w:tcPr>
            <w:tcW w:w="0" w:type="auto"/>
            <w:hideMark/>
          </w:tcPr>
          <w:p w14:paraId="1ADF06E5" w14:textId="77777777" w:rsidR="00613CA9" w:rsidRPr="00ED41AC" w:rsidRDefault="00613CA9" w:rsidP="001332DE">
            <w:pPr>
              <w:spacing w:after="0" w:line="360" w:lineRule="auto"/>
              <w:jc w:val="both"/>
              <w:rPr>
                <w:rFonts w:cs="Times New Roman"/>
                <w:sz w:val="22"/>
              </w:rPr>
            </w:pPr>
          </w:p>
        </w:tc>
      </w:tr>
      <w:tr w:rsidR="00613CA9" w:rsidRPr="00ED41AC" w14:paraId="7C556724" w14:textId="77777777" w:rsidTr="001332DE">
        <w:tc>
          <w:tcPr>
            <w:tcW w:w="0" w:type="auto"/>
            <w:hideMark/>
          </w:tcPr>
          <w:p w14:paraId="3106342A" w14:textId="77777777" w:rsidR="00613CA9" w:rsidRPr="00ED41AC" w:rsidRDefault="00613CA9" w:rsidP="001332DE">
            <w:pPr>
              <w:spacing w:after="0" w:line="360" w:lineRule="auto"/>
              <w:jc w:val="both"/>
              <w:rPr>
                <w:rFonts w:cs="Times New Roman"/>
                <w:sz w:val="22"/>
              </w:rPr>
            </w:pPr>
            <w:r w:rsidRPr="00ED41AC">
              <w:rPr>
                <w:rFonts w:cs="Times New Roman"/>
                <w:sz w:val="22"/>
              </w:rPr>
              <w:t>EF - Efficiency</w:t>
            </w:r>
          </w:p>
        </w:tc>
        <w:tc>
          <w:tcPr>
            <w:tcW w:w="0" w:type="auto"/>
            <w:hideMark/>
          </w:tcPr>
          <w:p w14:paraId="560BFBC2" w14:textId="77777777" w:rsidR="00613CA9" w:rsidRPr="00ED41AC" w:rsidRDefault="00613CA9" w:rsidP="001332DE">
            <w:pPr>
              <w:spacing w:after="0" w:line="360" w:lineRule="auto"/>
              <w:jc w:val="both"/>
              <w:rPr>
                <w:rFonts w:cs="Times New Roman"/>
                <w:sz w:val="22"/>
              </w:rPr>
            </w:pPr>
            <w:r w:rsidRPr="00ED41AC">
              <w:rPr>
                <w:rFonts w:cs="Times New Roman"/>
                <w:sz w:val="22"/>
              </w:rPr>
              <w:t>.482**</w:t>
            </w:r>
          </w:p>
        </w:tc>
        <w:tc>
          <w:tcPr>
            <w:tcW w:w="0" w:type="auto"/>
            <w:hideMark/>
          </w:tcPr>
          <w:p w14:paraId="24C62CC7"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61B085F7" w14:textId="77777777" w:rsidR="00613CA9" w:rsidRPr="00ED41AC" w:rsidRDefault="00613CA9" w:rsidP="001332DE">
            <w:pPr>
              <w:spacing w:after="0" w:line="360" w:lineRule="auto"/>
              <w:jc w:val="both"/>
              <w:rPr>
                <w:rFonts w:cs="Times New Roman"/>
                <w:sz w:val="22"/>
              </w:rPr>
            </w:pPr>
          </w:p>
        </w:tc>
        <w:tc>
          <w:tcPr>
            <w:tcW w:w="0" w:type="auto"/>
            <w:hideMark/>
          </w:tcPr>
          <w:p w14:paraId="4C102CFF" w14:textId="77777777" w:rsidR="00613CA9" w:rsidRPr="00ED41AC" w:rsidRDefault="00613CA9" w:rsidP="001332DE">
            <w:pPr>
              <w:spacing w:after="0" w:line="360" w:lineRule="auto"/>
              <w:jc w:val="both"/>
              <w:rPr>
                <w:rFonts w:cs="Times New Roman"/>
                <w:sz w:val="22"/>
              </w:rPr>
            </w:pPr>
          </w:p>
        </w:tc>
        <w:tc>
          <w:tcPr>
            <w:tcW w:w="0" w:type="auto"/>
            <w:hideMark/>
          </w:tcPr>
          <w:p w14:paraId="239B0B6E" w14:textId="77777777" w:rsidR="00613CA9" w:rsidRPr="00ED41AC" w:rsidRDefault="00613CA9" w:rsidP="001332DE">
            <w:pPr>
              <w:spacing w:after="0" w:line="360" w:lineRule="auto"/>
              <w:jc w:val="both"/>
              <w:rPr>
                <w:rFonts w:cs="Times New Roman"/>
                <w:sz w:val="22"/>
              </w:rPr>
            </w:pPr>
          </w:p>
        </w:tc>
        <w:tc>
          <w:tcPr>
            <w:tcW w:w="0" w:type="auto"/>
            <w:hideMark/>
          </w:tcPr>
          <w:p w14:paraId="0E1237CE" w14:textId="77777777" w:rsidR="00613CA9" w:rsidRPr="00ED41AC" w:rsidRDefault="00613CA9" w:rsidP="001332DE">
            <w:pPr>
              <w:spacing w:after="0" w:line="360" w:lineRule="auto"/>
              <w:jc w:val="both"/>
              <w:rPr>
                <w:rFonts w:cs="Times New Roman"/>
                <w:sz w:val="22"/>
              </w:rPr>
            </w:pPr>
          </w:p>
        </w:tc>
        <w:tc>
          <w:tcPr>
            <w:tcW w:w="0" w:type="auto"/>
            <w:hideMark/>
          </w:tcPr>
          <w:p w14:paraId="6BF3A031" w14:textId="77777777" w:rsidR="00613CA9" w:rsidRPr="00ED41AC" w:rsidRDefault="00613CA9" w:rsidP="001332DE">
            <w:pPr>
              <w:spacing w:after="0" w:line="360" w:lineRule="auto"/>
              <w:jc w:val="both"/>
              <w:rPr>
                <w:rFonts w:cs="Times New Roman"/>
                <w:sz w:val="22"/>
              </w:rPr>
            </w:pPr>
          </w:p>
        </w:tc>
      </w:tr>
      <w:tr w:rsidR="00613CA9" w:rsidRPr="00ED41AC" w14:paraId="61638963" w14:textId="77777777" w:rsidTr="001332DE">
        <w:tc>
          <w:tcPr>
            <w:tcW w:w="0" w:type="auto"/>
            <w:hideMark/>
          </w:tcPr>
          <w:p w14:paraId="7362CD48" w14:textId="77777777" w:rsidR="00613CA9" w:rsidRPr="00ED41AC" w:rsidRDefault="00613CA9" w:rsidP="001332DE">
            <w:pPr>
              <w:spacing w:after="0" w:line="360" w:lineRule="auto"/>
              <w:jc w:val="both"/>
              <w:rPr>
                <w:rFonts w:cs="Times New Roman"/>
                <w:sz w:val="22"/>
              </w:rPr>
            </w:pPr>
            <w:r w:rsidRPr="00ED41AC">
              <w:rPr>
                <w:rFonts w:cs="Times New Roman"/>
                <w:sz w:val="22"/>
              </w:rPr>
              <w:t>CM - Compliance</w:t>
            </w:r>
          </w:p>
        </w:tc>
        <w:tc>
          <w:tcPr>
            <w:tcW w:w="0" w:type="auto"/>
            <w:hideMark/>
          </w:tcPr>
          <w:p w14:paraId="306A3114" w14:textId="77777777" w:rsidR="00613CA9" w:rsidRPr="00ED41AC" w:rsidRDefault="00613CA9" w:rsidP="001332DE">
            <w:pPr>
              <w:spacing w:after="0" w:line="360" w:lineRule="auto"/>
              <w:jc w:val="both"/>
              <w:rPr>
                <w:rFonts w:cs="Times New Roman"/>
                <w:sz w:val="22"/>
              </w:rPr>
            </w:pPr>
            <w:r w:rsidRPr="00ED41AC">
              <w:rPr>
                <w:rFonts w:cs="Times New Roman"/>
                <w:sz w:val="22"/>
              </w:rPr>
              <w:t>.395**</w:t>
            </w:r>
          </w:p>
        </w:tc>
        <w:tc>
          <w:tcPr>
            <w:tcW w:w="0" w:type="auto"/>
            <w:hideMark/>
          </w:tcPr>
          <w:p w14:paraId="74E991B9" w14:textId="77777777" w:rsidR="00613CA9" w:rsidRPr="00ED41AC" w:rsidRDefault="00613CA9" w:rsidP="001332DE">
            <w:pPr>
              <w:spacing w:after="0" w:line="360" w:lineRule="auto"/>
              <w:jc w:val="both"/>
              <w:rPr>
                <w:rFonts w:cs="Times New Roman"/>
                <w:sz w:val="22"/>
              </w:rPr>
            </w:pPr>
            <w:r w:rsidRPr="00ED41AC">
              <w:rPr>
                <w:rFonts w:cs="Times New Roman"/>
                <w:sz w:val="22"/>
              </w:rPr>
              <w:t>.412**</w:t>
            </w:r>
          </w:p>
        </w:tc>
        <w:tc>
          <w:tcPr>
            <w:tcW w:w="0" w:type="auto"/>
            <w:hideMark/>
          </w:tcPr>
          <w:p w14:paraId="3F884EA8"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6B3E64F6" w14:textId="77777777" w:rsidR="00613CA9" w:rsidRPr="00ED41AC" w:rsidRDefault="00613CA9" w:rsidP="001332DE">
            <w:pPr>
              <w:spacing w:after="0" w:line="360" w:lineRule="auto"/>
              <w:jc w:val="both"/>
              <w:rPr>
                <w:rFonts w:cs="Times New Roman"/>
                <w:sz w:val="22"/>
              </w:rPr>
            </w:pPr>
          </w:p>
        </w:tc>
        <w:tc>
          <w:tcPr>
            <w:tcW w:w="0" w:type="auto"/>
            <w:hideMark/>
          </w:tcPr>
          <w:p w14:paraId="53B41AB7" w14:textId="77777777" w:rsidR="00613CA9" w:rsidRPr="00ED41AC" w:rsidRDefault="00613CA9" w:rsidP="001332DE">
            <w:pPr>
              <w:spacing w:after="0" w:line="360" w:lineRule="auto"/>
              <w:jc w:val="both"/>
              <w:rPr>
                <w:rFonts w:cs="Times New Roman"/>
                <w:sz w:val="22"/>
              </w:rPr>
            </w:pPr>
          </w:p>
        </w:tc>
        <w:tc>
          <w:tcPr>
            <w:tcW w:w="0" w:type="auto"/>
            <w:hideMark/>
          </w:tcPr>
          <w:p w14:paraId="3F71C74E" w14:textId="77777777" w:rsidR="00613CA9" w:rsidRPr="00ED41AC" w:rsidRDefault="00613CA9" w:rsidP="001332DE">
            <w:pPr>
              <w:spacing w:after="0" w:line="360" w:lineRule="auto"/>
              <w:jc w:val="both"/>
              <w:rPr>
                <w:rFonts w:cs="Times New Roman"/>
                <w:sz w:val="22"/>
              </w:rPr>
            </w:pPr>
          </w:p>
        </w:tc>
        <w:tc>
          <w:tcPr>
            <w:tcW w:w="0" w:type="auto"/>
            <w:hideMark/>
          </w:tcPr>
          <w:p w14:paraId="0AF7D999" w14:textId="77777777" w:rsidR="00613CA9" w:rsidRPr="00ED41AC" w:rsidRDefault="00613CA9" w:rsidP="001332DE">
            <w:pPr>
              <w:spacing w:after="0" w:line="360" w:lineRule="auto"/>
              <w:jc w:val="both"/>
              <w:rPr>
                <w:rFonts w:cs="Times New Roman"/>
                <w:sz w:val="22"/>
              </w:rPr>
            </w:pPr>
          </w:p>
        </w:tc>
      </w:tr>
      <w:tr w:rsidR="00613CA9" w:rsidRPr="00ED41AC" w14:paraId="6230F4A7" w14:textId="77777777" w:rsidTr="001332DE">
        <w:tc>
          <w:tcPr>
            <w:tcW w:w="0" w:type="auto"/>
            <w:hideMark/>
          </w:tcPr>
          <w:p w14:paraId="429A8DC1" w14:textId="77777777" w:rsidR="00613CA9" w:rsidRPr="00ED41AC" w:rsidRDefault="00613CA9" w:rsidP="001332DE">
            <w:pPr>
              <w:spacing w:after="0" w:line="360" w:lineRule="auto"/>
              <w:jc w:val="both"/>
              <w:rPr>
                <w:rFonts w:cs="Times New Roman"/>
                <w:sz w:val="22"/>
              </w:rPr>
            </w:pPr>
            <w:r w:rsidRPr="00ED41AC">
              <w:rPr>
                <w:rFonts w:cs="Times New Roman"/>
                <w:sz w:val="22"/>
              </w:rPr>
              <w:t>IN - Integration</w:t>
            </w:r>
          </w:p>
        </w:tc>
        <w:tc>
          <w:tcPr>
            <w:tcW w:w="0" w:type="auto"/>
            <w:hideMark/>
          </w:tcPr>
          <w:p w14:paraId="3E3D0971" w14:textId="77777777" w:rsidR="00613CA9" w:rsidRPr="00ED41AC" w:rsidRDefault="00613CA9" w:rsidP="001332DE">
            <w:pPr>
              <w:spacing w:after="0" w:line="360" w:lineRule="auto"/>
              <w:jc w:val="both"/>
              <w:rPr>
                <w:rFonts w:cs="Times New Roman"/>
                <w:sz w:val="22"/>
              </w:rPr>
            </w:pPr>
            <w:r w:rsidRPr="00ED41AC">
              <w:rPr>
                <w:rFonts w:cs="Times New Roman"/>
                <w:sz w:val="22"/>
              </w:rPr>
              <w:t>.367**</w:t>
            </w:r>
          </w:p>
        </w:tc>
        <w:tc>
          <w:tcPr>
            <w:tcW w:w="0" w:type="auto"/>
            <w:hideMark/>
          </w:tcPr>
          <w:p w14:paraId="46A01635" w14:textId="77777777" w:rsidR="00613CA9" w:rsidRPr="00ED41AC" w:rsidRDefault="00613CA9" w:rsidP="001332DE">
            <w:pPr>
              <w:spacing w:after="0" w:line="360" w:lineRule="auto"/>
              <w:jc w:val="both"/>
              <w:rPr>
                <w:rFonts w:cs="Times New Roman"/>
                <w:sz w:val="22"/>
              </w:rPr>
            </w:pPr>
            <w:r w:rsidRPr="00ED41AC">
              <w:rPr>
                <w:rFonts w:cs="Times New Roman"/>
                <w:sz w:val="22"/>
              </w:rPr>
              <w:t>.445**</w:t>
            </w:r>
          </w:p>
        </w:tc>
        <w:tc>
          <w:tcPr>
            <w:tcW w:w="0" w:type="auto"/>
            <w:hideMark/>
          </w:tcPr>
          <w:p w14:paraId="0680C726" w14:textId="77777777" w:rsidR="00613CA9" w:rsidRPr="00ED41AC" w:rsidRDefault="00613CA9" w:rsidP="001332DE">
            <w:pPr>
              <w:spacing w:after="0" w:line="360" w:lineRule="auto"/>
              <w:jc w:val="both"/>
              <w:rPr>
                <w:rFonts w:cs="Times New Roman"/>
                <w:sz w:val="22"/>
              </w:rPr>
            </w:pPr>
            <w:r w:rsidRPr="00ED41AC">
              <w:rPr>
                <w:rFonts w:cs="Times New Roman"/>
                <w:sz w:val="22"/>
              </w:rPr>
              <w:t>.388**</w:t>
            </w:r>
          </w:p>
        </w:tc>
        <w:tc>
          <w:tcPr>
            <w:tcW w:w="0" w:type="auto"/>
            <w:hideMark/>
          </w:tcPr>
          <w:p w14:paraId="1564B2C2"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532A678F" w14:textId="77777777" w:rsidR="00613CA9" w:rsidRPr="00ED41AC" w:rsidRDefault="00613CA9" w:rsidP="001332DE">
            <w:pPr>
              <w:spacing w:after="0" w:line="360" w:lineRule="auto"/>
              <w:jc w:val="both"/>
              <w:rPr>
                <w:rFonts w:cs="Times New Roman"/>
                <w:sz w:val="22"/>
              </w:rPr>
            </w:pPr>
          </w:p>
        </w:tc>
        <w:tc>
          <w:tcPr>
            <w:tcW w:w="0" w:type="auto"/>
            <w:hideMark/>
          </w:tcPr>
          <w:p w14:paraId="1CD3C3CD" w14:textId="77777777" w:rsidR="00613CA9" w:rsidRPr="00ED41AC" w:rsidRDefault="00613CA9" w:rsidP="001332DE">
            <w:pPr>
              <w:spacing w:after="0" w:line="360" w:lineRule="auto"/>
              <w:jc w:val="both"/>
              <w:rPr>
                <w:rFonts w:cs="Times New Roman"/>
                <w:sz w:val="22"/>
              </w:rPr>
            </w:pPr>
          </w:p>
        </w:tc>
        <w:tc>
          <w:tcPr>
            <w:tcW w:w="0" w:type="auto"/>
            <w:hideMark/>
          </w:tcPr>
          <w:p w14:paraId="030B43B4" w14:textId="77777777" w:rsidR="00613CA9" w:rsidRPr="00ED41AC" w:rsidRDefault="00613CA9" w:rsidP="001332DE">
            <w:pPr>
              <w:spacing w:after="0" w:line="360" w:lineRule="auto"/>
              <w:jc w:val="both"/>
              <w:rPr>
                <w:rFonts w:cs="Times New Roman"/>
                <w:sz w:val="22"/>
              </w:rPr>
            </w:pPr>
          </w:p>
        </w:tc>
      </w:tr>
      <w:tr w:rsidR="00613CA9" w:rsidRPr="00ED41AC" w14:paraId="4DE442F5" w14:textId="77777777" w:rsidTr="001332DE">
        <w:tc>
          <w:tcPr>
            <w:tcW w:w="0" w:type="auto"/>
            <w:hideMark/>
          </w:tcPr>
          <w:p w14:paraId="0B26A794" w14:textId="77777777" w:rsidR="00613CA9" w:rsidRPr="00ED41AC" w:rsidRDefault="00613CA9" w:rsidP="001332DE">
            <w:pPr>
              <w:spacing w:after="0" w:line="360" w:lineRule="auto"/>
              <w:jc w:val="both"/>
              <w:rPr>
                <w:rFonts w:cs="Times New Roman"/>
                <w:sz w:val="22"/>
              </w:rPr>
            </w:pPr>
            <w:r w:rsidRPr="00ED41AC">
              <w:rPr>
                <w:rFonts w:cs="Times New Roman"/>
                <w:sz w:val="22"/>
              </w:rPr>
              <w:t>US - Usability</w:t>
            </w:r>
          </w:p>
        </w:tc>
        <w:tc>
          <w:tcPr>
            <w:tcW w:w="0" w:type="auto"/>
            <w:hideMark/>
          </w:tcPr>
          <w:p w14:paraId="64F79B60" w14:textId="77777777" w:rsidR="00613CA9" w:rsidRPr="00ED41AC" w:rsidRDefault="00613CA9" w:rsidP="001332DE">
            <w:pPr>
              <w:spacing w:after="0" w:line="360" w:lineRule="auto"/>
              <w:jc w:val="both"/>
              <w:rPr>
                <w:rFonts w:cs="Times New Roman"/>
                <w:sz w:val="22"/>
              </w:rPr>
            </w:pPr>
            <w:r w:rsidRPr="00ED41AC">
              <w:rPr>
                <w:rFonts w:cs="Times New Roman"/>
                <w:sz w:val="22"/>
              </w:rPr>
              <w:t>.423**</w:t>
            </w:r>
          </w:p>
        </w:tc>
        <w:tc>
          <w:tcPr>
            <w:tcW w:w="0" w:type="auto"/>
            <w:hideMark/>
          </w:tcPr>
          <w:p w14:paraId="0A109E13" w14:textId="77777777" w:rsidR="00613CA9" w:rsidRPr="00ED41AC" w:rsidRDefault="00613CA9" w:rsidP="001332DE">
            <w:pPr>
              <w:spacing w:after="0" w:line="360" w:lineRule="auto"/>
              <w:jc w:val="both"/>
              <w:rPr>
                <w:rFonts w:cs="Times New Roman"/>
                <w:sz w:val="22"/>
              </w:rPr>
            </w:pPr>
            <w:r w:rsidRPr="00ED41AC">
              <w:rPr>
                <w:rFonts w:cs="Times New Roman"/>
                <w:sz w:val="22"/>
              </w:rPr>
              <w:t>.501**</w:t>
            </w:r>
          </w:p>
        </w:tc>
        <w:tc>
          <w:tcPr>
            <w:tcW w:w="0" w:type="auto"/>
            <w:hideMark/>
          </w:tcPr>
          <w:p w14:paraId="3A8CFD78" w14:textId="77777777" w:rsidR="00613CA9" w:rsidRPr="00ED41AC" w:rsidRDefault="00613CA9" w:rsidP="001332DE">
            <w:pPr>
              <w:spacing w:after="0" w:line="360" w:lineRule="auto"/>
              <w:jc w:val="both"/>
              <w:rPr>
                <w:rFonts w:cs="Times New Roman"/>
                <w:sz w:val="22"/>
              </w:rPr>
            </w:pPr>
            <w:r w:rsidRPr="00ED41AC">
              <w:rPr>
                <w:rFonts w:cs="Times New Roman"/>
                <w:sz w:val="22"/>
              </w:rPr>
              <w:t>.356**</w:t>
            </w:r>
          </w:p>
        </w:tc>
        <w:tc>
          <w:tcPr>
            <w:tcW w:w="0" w:type="auto"/>
            <w:hideMark/>
          </w:tcPr>
          <w:p w14:paraId="4DE4B1C5" w14:textId="77777777" w:rsidR="00613CA9" w:rsidRPr="00ED41AC" w:rsidRDefault="00613CA9" w:rsidP="001332DE">
            <w:pPr>
              <w:spacing w:after="0" w:line="360" w:lineRule="auto"/>
              <w:jc w:val="both"/>
              <w:rPr>
                <w:rFonts w:cs="Times New Roman"/>
                <w:sz w:val="22"/>
              </w:rPr>
            </w:pPr>
            <w:r w:rsidRPr="00ED41AC">
              <w:rPr>
                <w:rFonts w:cs="Times New Roman"/>
                <w:sz w:val="22"/>
              </w:rPr>
              <w:t>.472**</w:t>
            </w:r>
          </w:p>
        </w:tc>
        <w:tc>
          <w:tcPr>
            <w:tcW w:w="0" w:type="auto"/>
            <w:hideMark/>
          </w:tcPr>
          <w:p w14:paraId="5984AFDA"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525B1D81" w14:textId="77777777" w:rsidR="00613CA9" w:rsidRPr="00ED41AC" w:rsidRDefault="00613CA9" w:rsidP="001332DE">
            <w:pPr>
              <w:spacing w:after="0" w:line="360" w:lineRule="auto"/>
              <w:jc w:val="both"/>
              <w:rPr>
                <w:rFonts w:cs="Times New Roman"/>
                <w:sz w:val="22"/>
              </w:rPr>
            </w:pPr>
          </w:p>
        </w:tc>
        <w:tc>
          <w:tcPr>
            <w:tcW w:w="0" w:type="auto"/>
            <w:hideMark/>
          </w:tcPr>
          <w:p w14:paraId="0C87B981" w14:textId="77777777" w:rsidR="00613CA9" w:rsidRPr="00ED41AC" w:rsidRDefault="00613CA9" w:rsidP="001332DE">
            <w:pPr>
              <w:spacing w:after="0" w:line="360" w:lineRule="auto"/>
              <w:jc w:val="both"/>
              <w:rPr>
                <w:rFonts w:cs="Times New Roman"/>
                <w:sz w:val="22"/>
              </w:rPr>
            </w:pPr>
          </w:p>
        </w:tc>
      </w:tr>
      <w:tr w:rsidR="00613CA9" w:rsidRPr="00ED41AC" w14:paraId="42AA2804" w14:textId="77777777" w:rsidTr="001332DE">
        <w:tc>
          <w:tcPr>
            <w:tcW w:w="0" w:type="auto"/>
            <w:hideMark/>
          </w:tcPr>
          <w:p w14:paraId="48E99A94" w14:textId="77777777" w:rsidR="00613CA9" w:rsidRPr="00ED41AC" w:rsidRDefault="00613CA9" w:rsidP="001332DE">
            <w:pPr>
              <w:spacing w:after="0" w:line="360" w:lineRule="auto"/>
              <w:jc w:val="both"/>
              <w:rPr>
                <w:rFonts w:cs="Times New Roman"/>
                <w:sz w:val="22"/>
              </w:rPr>
            </w:pPr>
            <w:r w:rsidRPr="00ED41AC">
              <w:rPr>
                <w:rFonts w:cs="Times New Roman"/>
                <w:sz w:val="22"/>
              </w:rPr>
              <w:t>CR - Credibility</w:t>
            </w:r>
          </w:p>
        </w:tc>
        <w:tc>
          <w:tcPr>
            <w:tcW w:w="0" w:type="auto"/>
            <w:hideMark/>
          </w:tcPr>
          <w:p w14:paraId="44DBF6FB" w14:textId="77777777" w:rsidR="00613CA9" w:rsidRPr="00ED41AC" w:rsidRDefault="00613CA9" w:rsidP="001332DE">
            <w:pPr>
              <w:spacing w:after="0" w:line="360" w:lineRule="auto"/>
              <w:jc w:val="both"/>
              <w:rPr>
                <w:rFonts w:cs="Times New Roman"/>
                <w:sz w:val="22"/>
              </w:rPr>
            </w:pPr>
            <w:r w:rsidRPr="00ED41AC">
              <w:rPr>
                <w:rFonts w:cs="Times New Roman"/>
                <w:sz w:val="22"/>
              </w:rPr>
              <w:t>.458**</w:t>
            </w:r>
          </w:p>
        </w:tc>
        <w:tc>
          <w:tcPr>
            <w:tcW w:w="0" w:type="auto"/>
            <w:hideMark/>
          </w:tcPr>
          <w:p w14:paraId="459EE582" w14:textId="77777777" w:rsidR="00613CA9" w:rsidRPr="00ED41AC" w:rsidRDefault="00613CA9" w:rsidP="001332DE">
            <w:pPr>
              <w:spacing w:after="0" w:line="360" w:lineRule="auto"/>
              <w:jc w:val="both"/>
              <w:rPr>
                <w:rFonts w:cs="Times New Roman"/>
                <w:sz w:val="22"/>
              </w:rPr>
            </w:pPr>
            <w:r w:rsidRPr="00ED41AC">
              <w:rPr>
                <w:rFonts w:cs="Times New Roman"/>
                <w:sz w:val="22"/>
              </w:rPr>
              <w:t>.439**</w:t>
            </w:r>
          </w:p>
        </w:tc>
        <w:tc>
          <w:tcPr>
            <w:tcW w:w="0" w:type="auto"/>
            <w:hideMark/>
          </w:tcPr>
          <w:p w14:paraId="7BD77C66" w14:textId="77777777" w:rsidR="00613CA9" w:rsidRPr="00ED41AC" w:rsidRDefault="00613CA9" w:rsidP="001332DE">
            <w:pPr>
              <w:spacing w:after="0" w:line="360" w:lineRule="auto"/>
              <w:jc w:val="both"/>
              <w:rPr>
                <w:rFonts w:cs="Times New Roman"/>
                <w:sz w:val="22"/>
              </w:rPr>
            </w:pPr>
            <w:r w:rsidRPr="00ED41AC">
              <w:rPr>
                <w:rFonts w:cs="Times New Roman"/>
                <w:sz w:val="22"/>
              </w:rPr>
              <w:t>.478**</w:t>
            </w:r>
          </w:p>
        </w:tc>
        <w:tc>
          <w:tcPr>
            <w:tcW w:w="0" w:type="auto"/>
            <w:hideMark/>
          </w:tcPr>
          <w:p w14:paraId="14CC3C89" w14:textId="77777777" w:rsidR="00613CA9" w:rsidRPr="00ED41AC" w:rsidRDefault="00613CA9" w:rsidP="001332DE">
            <w:pPr>
              <w:spacing w:after="0" w:line="360" w:lineRule="auto"/>
              <w:jc w:val="both"/>
              <w:rPr>
                <w:rFonts w:cs="Times New Roman"/>
                <w:sz w:val="22"/>
              </w:rPr>
            </w:pPr>
            <w:r w:rsidRPr="00ED41AC">
              <w:rPr>
                <w:rFonts w:cs="Times New Roman"/>
                <w:sz w:val="22"/>
              </w:rPr>
              <w:t>.421**</w:t>
            </w:r>
          </w:p>
        </w:tc>
        <w:tc>
          <w:tcPr>
            <w:tcW w:w="0" w:type="auto"/>
            <w:hideMark/>
          </w:tcPr>
          <w:p w14:paraId="7A3B0166" w14:textId="77777777" w:rsidR="00613CA9" w:rsidRPr="00ED41AC" w:rsidRDefault="00613CA9" w:rsidP="001332DE">
            <w:pPr>
              <w:spacing w:after="0" w:line="360" w:lineRule="auto"/>
              <w:jc w:val="both"/>
              <w:rPr>
                <w:rFonts w:cs="Times New Roman"/>
                <w:sz w:val="22"/>
              </w:rPr>
            </w:pPr>
            <w:r w:rsidRPr="00ED41AC">
              <w:rPr>
                <w:rFonts w:cs="Times New Roman"/>
                <w:sz w:val="22"/>
              </w:rPr>
              <w:t>.387**</w:t>
            </w:r>
          </w:p>
        </w:tc>
        <w:tc>
          <w:tcPr>
            <w:tcW w:w="0" w:type="auto"/>
            <w:hideMark/>
          </w:tcPr>
          <w:p w14:paraId="44B197A5"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6C137CDD" w14:textId="77777777" w:rsidR="00613CA9" w:rsidRPr="00ED41AC" w:rsidRDefault="00613CA9" w:rsidP="001332DE">
            <w:pPr>
              <w:spacing w:after="0" w:line="360" w:lineRule="auto"/>
              <w:jc w:val="both"/>
              <w:rPr>
                <w:rFonts w:cs="Times New Roman"/>
                <w:sz w:val="22"/>
              </w:rPr>
            </w:pPr>
          </w:p>
        </w:tc>
      </w:tr>
      <w:tr w:rsidR="00613CA9" w:rsidRPr="00ED41AC" w14:paraId="5F3F0BD2" w14:textId="77777777" w:rsidTr="001332DE">
        <w:tc>
          <w:tcPr>
            <w:tcW w:w="0" w:type="auto"/>
            <w:hideMark/>
          </w:tcPr>
          <w:p w14:paraId="14CDF381" w14:textId="77777777" w:rsidR="00613CA9" w:rsidRPr="00ED41AC" w:rsidRDefault="00613CA9" w:rsidP="001332DE">
            <w:pPr>
              <w:spacing w:after="0" w:line="360" w:lineRule="auto"/>
              <w:jc w:val="both"/>
              <w:rPr>
                <w:rFonts w:cs="Times New Roman"/>
                <w:sz w:val="22"/>
              </w:rPr>
            </w:pPr>
            <w:r w:rsidRPr="00ED41AC">
              <w:rPr>
                <w:rFonts w:cs="Times New Roman"/>
                <w:sz w:val="22"/>
              </w:rPr>
              <w:t>FMO - Financial Management Outcomes</w:t>
            </w:r>
          </w:p>
        </w:tc>
        <w:tc>
          <w:tcPr>
            <w:tcW w:w="0" w:type="auto"/>
            <w:hideMark/>
          </w:tcPr>
          <w:p w14:paraId="3C034B5E" w14:textId="77777777" w:rsidR="00613CA9" w:rsidRPr="00ED41AC" w:rsidRDefault="00613CA9" w:rsidP="001332DE">
            <w:pPr>
              <w:spacing w:after="0" w:line="360" w:lineRule="auto"/>
              <w:jc w:val="both"/>
              <w:rPr>
                <w:rFonts w:cs="Times New Roman"/>
                <w:sz w:val="22"/>
              </w:rPr>
            </w:pPr>
            <w:r w:rsidRPr="00ED41AC">
              <w:rPr>
                <w:rFonts w:cs="Times New Roman"/>
                <w:sz w:val="22"/>
              </w:rPr>
              <w:t>.587**</w:t>
            </w:r>
          </w:p>
        </w:tc>
        <w:tc>
          <w:tcPr>
            <w:tcW w:w="0" w:type="auto"/>
            <w:hideMark/>
          </w:tcPr>
          <w:p w14:paraId="656F3521" w14:textId="77777777" w:rsidR="00613CA9" w:rsidRPr="00ED41AC" w:rsidRDefault="00613CA9" w:rsidP="001332DE">
            <w:pPr>
              <w:spacing w:after="0" w:line="360" w:lineRule="auto"/>
              <w:jc w:val="both"/>
              <w:rPr>
                <w:rFonts w:cs="Times New Roman"/>
                <w:sz w:val="22"/>
              </w:rPr>
            </w:pPr>
            <w:r w:rsidRPr="00ED41AC">
              <w:rPr>
                <w:rFonts w:cs="Times New Roman"/>
                <w:sz w:val="22"/>
              </w:rPr>
              <w:t>.621**</w:t>
            </w:r>
          </w:p>
        </w:tc>
        <w:tc>
          <w:tcPr>
            <w:tcW w:w="0" w:type="auto"/>
            <w:hideMark/>
          </w:tcPr>
          <w:p w14:paraId="765626F9" w14:textId="77777777" w:rsidR="00613CA9" w:rsidRPr="00ED41AC" w:rsidRDefault="00613CA9" w:rsidP="001332DE">
            <w:pPr>
              <w:spacing w:after="0" w:line="360" w:lineRule="auto"/>
              <w:jc w:val="both"/>
              <w:rPr>
                <w:rFonts w:cs="Times New Roman"/>
                <w:sz w:val="22"/>
              </w:rPr>
            </w:pPr>
            <w:r w:rsidRPr="00ED41AC">
              <w:rPr>
                <w:rFonts w:cs="Times New Roman"/>
                <w:sz w:val="22"/>
              </w:rPr>
              <w:t>.568**</w:t>
            </w:r>
          </w:p>
        </w:tc>
        <w:tc>
          <w:tcPr>
            <w:tcW w:w="0" w:type="auto"/>
            <w:hideMark/>
          </w:tcPr>
          <w:p w14:paraId="6222258D" w14:textId="77777777" w:rsidR="00613CA9" w:rsidRPr="00ED41AC" w:rsidRDefault="00613CA9" w:rsidP="001332DE">
            <w:pPr>
              <w:spacing w:after="0" w:line="360" w:lineRule="auto"/>
              <w:jc w:val="both"/>
              <w:rPr>
                <w:rFonts w:cs="Times New Roman"/>
                <w:sz w:val="22"/>
              </w:rPr>
            </w:pPr>
            <w:r w:rsidRPr="00ED41AC">
              <w:rPr>
                <w:rFonts w:cs="Times New Roman"/>
                <w:sz w:val="22"/>
              </w:rPr>
              <w:t>.542**</w:t>
            </w:r>
          </w:p>
        </w:tc>
        <w:tc>
          <w:tcPr>
            <w:tcW w:w="0" w:type="auto"/>
            <w:hideMark/>
          </w:tcPr>
          <w:p w14:paraId="53077F3E" w14:textId="77777777" w:rsidR="00613CA9" w:rsidRPr="00ED41AC" w:rsidRDefault="00613CA9" w:rsidP="001332DE">
            <w:pPr>
              <w:spacing w:after="0" w:line="360" w:lineRule="auto"/>
              <w:jc w:val="both"/>
              <w:rPr>
                <w:rFonts w:cs="Times New Roman"/>
                <w:sz w:val="22"/>
              </w:rPr>
            </w:pPr>
            <w:r w:rsidRPr="00ED41AC">
              <w:rPr>
                <w:rFonts w:cs="Times New Roman"/>
                <w:sz w:val="22"/>
              </w:rPr>
              <w:t>.509**</w:t>
            </w:r>
          </w:p>
        </w:tc>
        <w:tc>
          <w:tcPr>
            <w:tcW w:w="0" w:type="auto"/>
            <w:hideMark/>
          </w:tcPr>
          <w:p w14:paraId="61A95260" w14:textId="77777777" w:rsidR="00613CA9" w:rsidRPr="00ED41AC" w:rsidRDefault="00613CA9" w:rsidP="001332DE">
            <w:pPr>
              <w:spacing w:after="0" w:line="360" w:lineRule="auto"/>
              <w:jc w:val="both"/>
              <w:rPr>
                <w:rFonts w:cs="Times New Roman"/>
                <w:sz w:val="22"/>
              </w:rPr>
            </w:pPr>
            <w:r w:rsidRPr="00ED41AC">
              <w:rPr>
                <w:rFonts w:cs="Times New Roman"/>
                <w:sz w:val="22"/>
              </w:rPr>
              <w:t>.598**</w:t>
            </w:r>
          </w:p>
        </w:tc>
        <w:tc>
          <w:tcPr>
            <w:tcW w:w="0" w:type="auto"/>
            <w:hideMark/>
          </w:tcPr>
          <w:p w14:paraId="37CA1972"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r>
    </w:tbl>
    <w:p w14:paraId="10B5563A" w14:textId="77777777" w:rsidR="00613CA9" w:rsidRPr="00ED41AC" w:rsidRDefault="00613CA9" w:rsidP="00613CA9">
      <w:pPr>
        <w:spacing w:before="120" w:after="120" w:line="360" w:lineRule="auto"/>
        <w:jc w:val="both"/>
        <w:rPr>
          <w:rFonts w:cs="Times New Roman"/>
          <w:sz w:val="22"/>
        </w:rPr>
      </w:pPr>
      <w:r>
        <w:rPr>
          <w:rFonts w:cs="Times New Roman"/>
          <w:sz w:val="22"/>
        </w:rPr>
        <w:t>**</w:t>
      </w:r>
      <w:r w:rsidRPr="00ED41AC">
        <w:rPr>
          <w:rFonts w:cs="Times New Roman"/>
          <w:sz w:val="22"/>
        </w:rPr>
        <w:t>Correlation is significant at the 0.01 level (2-tailed).</w:t>
      </w:r>
    </w:p>
    <w:p w14:paraId="17B9A7DE" w14:textId="77777777" w:rsidR="00613CA9" w:rsidRPr="00ED41AC" w:rsidRDefault="00613CA9" w:rsidP="00613CA9">
      <w:pPr>
        <w:spacing w:before="120" w:after="120" w:line="360" w:lineRule="auto"/>
        <w:jc w:val="both"/>
        <w:rPr>
          <w:rFonts w:cs="Times New Roman"/>
          <w:szCs w:val="24"/>
        </w:rPr>
      </w:pPr>
      <w:r w:rsidRPr="00ED41AC">
        <w:rPr>
          <w:rFonts w:cs="Times New Roman"/>
          <w:i/>
          <w:iCs/>
          <w:szCs w:val="24"/>
        </w:rPr>
        <w:t>Source: Field Survey, 2026</w:t>
      </w:r>
    </w:p>
    <w:p w14:paraId="4869BD59" w14:textId="77777777" w:rsidR="00613CA9" w:rsidRPr="005100C7" w:rsidRDefault="00613CA9" w:rsidP="00613CA9">
      <w:pPr>
        <w:spacing w:before="120" w:after="120" w:line="360" w:lineRule="auto"/>
        <w:jc w:val="both"/>
        <w:rPr>
          <w:rFonts w:cs="Times New Roman"/>
          <w:szCs w:val="24"/>
        </w:rPr>
      </w:pPr>
      <w:r w:rsidRPr="005100C7">
        <w:rPr>
          <w:rFonts w:cs="Times New Roman"/>
          <w:szCs w:val="24"/>
        </w:rPr>
        <w:t>Some significant correlations can be observed between independent variables as well, which could be explained by their being the measures of different aspects of one information system. Namely, such high correlations as those between Efficiency and Usability (r = .501, p &lt; .01) or Transparency and Efficiency (r = .482, p &lt; .01) were observed. However, they did not suggest multicollinearity because no VIF values exceeded 3.</w:t>
      </w:r>
    </w:p>
    <w:p w14:paraId="62A0C198" w14:textId="77777777" w:rsidR="00613CA9" w:rsidRDefault="00613CA9" w:rsidP="00613CA9">
      <w:pPr>
        <w:spacing w:before="120" w:after="120" w:line="360" w:lineRule="auto"/>
        <w:jc w:val="both"/>
        <w:rPr>
          <w:rFonts w:cs="Times New Roman"/>
          <w:szCs w:val="24"/>
        </w:rPr>
      </w:pPr>
      <w:r>
        <w:rPr>
          <w:rFonts w:cs="Times New Roman"/>
          <w:szCs w:val="24"/>
        </w:rPr>
        <w:t>S</w:t>
      </w:r>
      <w:r w:rsidRPr="005100C7">
        <w:rPr>
          <w:rFonts w:cs="Times New Roman"/>
          <w:szCs w:val="24"/>
        </w:rPr>
        <w:t>trong association between Efficiency and FMO (r = .621) suggests that respondents reporting high efficiency of transactions processing and report generation in the IBEX system were also prone to report positive financial management outcomes. At the same time, very strong correlation between Credibility and FMO (r = .598) means that increased system credibility is associated with enhanced financial management results.</w:t>
      </w:r>
    </w:p>
    <w:p w14:paraId="1A729944" w14:textId="4C2FBD62" w:rsidR="00613CA9" w:rsidRPr="00613CA9" w:rsidRDefault="00613CA9" w:rsidP="00613CA9">
      <w:pPr>
        <w:spacing w:before="120" w:after="120" w:line="360" w:lineRule="auto"/>
        <w:jc w:val="both"/>
        <w:rPr>
          <w:rFonts w:cs="Times New Roman"/>
          <w:szCs w:val="24"/>
        </w:rPr>
      </w:pPr>
      <w:bookmarkStart w:id="3" w:name="_Toc229990273"/>
      <w:r w:rsidRPr="00613CA9">
        <w:rPr>
          <w:rFonts w:eastAsiaTheme="majorEastAsia"/>
          <w:b/>
          <w:bCs/>
          <w:iCs/>
          <w:color w:val="000000" w:themeColor="text1"/>
          <w:kern w:val="32"/>
          <w:szCs w:val="24"/>
          <w14:ligatures w14:val="none"/>
        </w:rPr>
        <w:t>Regression Analysis</w:t>
      </w:r>
      <w:bookmarkEnd w:id="3"/>
    </w:p>
    <w:p w14:paraId="396E786E" w14:textId="77777777" w:rsidR="00613CA9" w:rsidRPr="00ED41AC" w:rsidRDefault="00613CA9" w:rsidP="00613CA9">
      <w:pPr>
        <w:spacing w:before="120" w:after="120" w:line="360" w:lineRule="auto"/>
        <w:jc w:val="both"/>
        <w:rPr>
          <w:rFonts w:cs="Times New Roman"/>
          <w:szCs w:val="24"/>
        </w:rPr>
      </w:pPr>
      <w:r w:rsidRPr="00A570F6">
        <w:rPr>
          <w:rFonts w:cs="Times New Roman"/>
          <w:szCs w:val="24"/>
        </w:rPr>
        <w:t>To determine whether there is an influence of the selected attributes on financial management outcomes, a multiple regression analysis was used. With the help of regression, we were able to consider several variables at the same time to see how they predict the dependent variable in terms of financial management.</w:t>
      </w:r>
    </w:p>
    <w:p w14:paraId="5E0EECAD" w14:textId="7E7EEF9F" w:rsidR="00613CA9" w:rsidRPr="00ED41AC" w:rsidRDefault="00613CA9" w:rsidP="00613CA9">
      <w:pPr>
        <w:spacing w:before="120" w:after="0" w:line="360" w:lineRule="auto"/>
        <w:jc w:val="both"/>
        <w:rPr>
          <w:rFonts w:cs="Times New Roman"/>
          <w:szCs w:val="24"/>
        </w:rPr>
      </w:pPr>
      <w:bookmarkStart w:id="4" w:name="_Toc229990396"/>
      <w:r w:rsidRPr="001253EE">
        <w:rPr>
          <w:rFonts w:eastAsia="Times New Roman"/>
          <w:color w:val="181717"/>
          <w:szCs w:val="24"/>
        </w:rPr>
        <w:lastRenderedPageBreak/>
        <w:t xml:space="preserve">Table </w:t>
      </w:r>
      <w:r>
        <w:rPr>
          <w:rFonts w:eastAsia="Times New Roman"/>
          <w:color w:val="181717"/>
          <w:szCs w:val="24"/>
        </w:rPr>
        <w:t>2</w:t>
      </w:r>
      <w:r w:rsidRPr="001253EE">
        <w:rPr>
          <w:rFonts w:eastAsia="Times New Roman"/>
          <w:color w:val="181717"/>
          <w:szCs w:val="24"/>
        </w:rPr>
        <w:t xml:space="preserve">. </w:t>
      </w:r>
      <w:r w:rsidRPr="00ED41AC">
        <w:rPr>
          <w:rFonts w:cs="Times New Roman"/>
          <w:szCs w:val="24"/>
        </w:rPr>
        <w:t>Model Summary</w:t>
      </w:r>
      <w:bookmarkEnd w:id="4"/>
    </w:p>
    <w:tbl>
      <w:tblPr>
        <w:tblStyle w:val="TableGridLight1"/>
        <w:tblW w:w="0" w:type="auto"/>
        <w:tblLook w:val="04A0" w:firstRow="1" w:lastRow="0" w:firstColumn="1" w:lastColumn="0" w:noHBand="0" w:noVBand="1"/>
      </w:tblPr>
      <w:tblGrid>
        <w:gridCol w:w="843"/>
        <w:gridCol w:w="743"/>
        <w:gridCol w:w="1103"/>
        <w:gridCol w:w="2030"/>
        <w:gridCol w:w="2676"/>
      </w:tblGrid>
      <w:tr w:rsidR="00613CA9" w:rsidRPr="00ED41AC" w14:paraId="34612F5B" w14:textId="77777777" w:rsidTr="001332DE">
        <w:tc>
          <w:tcPr>
            <w:tcW w:w="0" w:type="auto"/>
            <w:hideMark/>
          </w:tcPr>
          <w:p w14:paraId="7D9A8515" w14:textId="77777777" w:rsidR="00613CA9" w:rsidRPr="00ED41AC" w:rsidRDefault="00613CA9" w:rsidP="001332DE">
            <w:pPr>
              <w:spacing w:after="0" w:line="360" w:lineRule="auto"/>
              <w:jc w:val="both"/>
              <w:rPr>
                <w:rFonts w:cs="Times New Roman"/>
                <w:szCs w:val="24"/>
              </w:rPr>
            </w:pPr>
            <w:r w:rsidRPr="00ED41AC">
              <w:rPr>
                <w:rFonts w:cs="Times New Roman"/>
                <w:szCs w:val="24"/>
              </w:rPr>
              <w:t>Model</w:t>
            </w:r>
          </w:p>
        </w:tc>
        <w:tc>
          <w:tcPr>
            <w:tcW w:w="0" w:type="auto"/>
            <w:hideMark/>
          </w:tcPr>
          <w:p w14:paraId="2BF06779" w14:textId="77777777" w:rsidR="00613CA9" w:rsidRPr="00ED41AC" w:rsidRDefault="00613CA9" w:rsidP="001332DE">
            <w:pPr>
              <w:spacing w:after="0" w:line="360" w:lineRule="auto"/>
              <w:jc w:val="both"/>
              <w:rPr>
                <w:rFonts w:cs="Times New Roman"/>
                <w:szCs w:val="24"/>
              </w:rPr>
            </w:pPr>
            <w:r w:rsidRPr="00ED41AC">
              <w:rPr>
                <w:rFonts w:cs="Times New Roman"/>
                <w:szCs w:val="24"/>
              </w:rPr>
              <w:t>R</w:t>
            </w:r>
          </w:p>
        </w:tc>
        <w:tc>
          <w:tcPr>
            <w:tcW w:w="0" w:type="auto"/>
            <w:hideMark/>
          </w:tcPr>
          <w:p w14:paraId="40BE55B6" w14:textId="77777777" w:rsidR="00613CA9" w:rsidRPr="00ED41AC" w:rsidRDefault="00613CA9" w:rsidP="001332DE">
            <w:pPr>
              <w:spacing w:after="0" w:line="360" w:lineRule="auto"/>
              <w:jc w:val="both"/>
              <w:rPr>
                <w:rFonts w:cs="Times New Roman"/>
                <w:szCs w:val="24"/>
              </w:rPr>
            </w:pPr>
            <w:r w:rsidRPr="00ED41AC">
              <w:rPr>
                <w:rFonts w:cs="Times New Roman"/>
                <w:szCs w:val="24"/>
              </w:rPr>
              <w:t>R Square</w:t>
            </w:r>
          </w:p>
        </w:tc>
        <w:tc>
          <w:tcPr>
            <w:tcW w:w="0" w:type="auto"/>
            <w:hideMark/>
          </w:tcPr>
          <w:p w14:paraId="60EB0F44" w14:textId="77777777" w:rsidR="00613CA9" w:rsidRPr="00ED41AC" w:rsidRDefault="00613CA9" w:rsidP="001332DE">
            <w:pPr>
              <w:spacing w:after="0" w:line="360" w:lineRule="auto"/>
              <w:jc w:val="both"/>
              <w:rPr>
                <w:rFonts w:cs="Times New Roman"/>
                <w:szCs w:val="24"/>
              </w:rPr>
            </w:pPr>
            <w:r w:rsidRPr="00ED41AC">
              <w:rPr>
                <w:rFonts w:cs="Times New Roman"/>
                <w:szCs w:val="24"/>
              </w:rPr>
              <w:t>Adjusted R Square</w:t>
            </w:r>
          </w:p>
        </w:tc>
        <w:tc>
          <w:tcPr>
            <w:tcW w:w="0" w:type="auto"/>
            <w:hideMark/>
          </w:tcPr>
          <w:p w14:paraId="34B58FFA" w14:textId="77777777" w:rsidR="00613CA9" w:rsidRPr="00ED41AC" w:rsidRDefault="00613CA9" w:rsidP="001332DE">
            <w:pPr>
              <w:spacing w:after="0" w:line="360" w:lineRule="auto"/>
              <w:jc w:val="both"/>
              <w:rPr>
                <w:rFonts w:cs="Times New Roman"/>
                <w:szCs w:val="24"/>
              </w:rPr>
            </w:pPr>
            <w:r w:rsidRPr="00ED41AC">
              <w:rPr>
                <w:rFonts w:cs="Times New Roman"/>
                <w:szCs w:val="24"/>
              </w:rPr>
              <w:t>Std. Error of the Estimate</w:t>
            </w:r>
          </w:p>
        </w:tc>
      </w:tr>
      <w:tr w:rsidR="00613CA9" w:rsidRPr="00ED41AC" w14:paraId="582189E4" w14:textId="77777777" w:rsidTr="001332DE">
        <w:tc>
          <w:tcPr>
            <w:tcW w:w="0" w:type="auto"/>
            <w:hideMark/>
          </w:tcPr>
          <w:p w14:paraId="0F627F1E" w14:textId="77777777" w:rsidR="00613CA9" w:rsidRPr="00ED41AC" w:rsidRDefault="00613CA9" w:rsidP="001332DE">
            <w:pPr>
              <w:spacing w:after="0" w:line="360" w:lineRule="auto"/>
              <w:jc w:val="both"/>
              <w:rPr>
                <w:rFonts w:cs="Times New Roman"/>
                <w:szCs w:val="24"/>
              </w:rPr>
            </w:pPr>
            <w:r w:rsidRPr="00ED41AC">
              <w:rPr>
                <w:rFonts w:cs="Times New Roman"/>
                <w:szCs w:val="24"/>
              </w:rPr>
              <w:t>1</w:t>
            </w:r>
          </w:p>
        </w:tc>
        <w:tc>
          <w:tcPr>
            <w:tcW w:w="0" w:type="auto"/>
            <w:hideMark/>
          </w:tcPr>
          <w:p w14:paraId="50B35932" w14:textId="77777777" w:rsidR="00613CA9" w:rsidRPr="00ED41AC" w:rsidRDefault="00613CA9" w:rsidP="001332DE">
            <w:pPr>
              <w:spacing w:after="0" w:line="360" w:lineRule="auto"/>
              <w:jc w:val="both"/>
              <w:rPr>
                <w:rFonts w:cs="Times New Roman"/>
                <w:szCs w:val="24"/>
              </w:rPr>
            </w:pPr>
            <w:r w:rsidRPr="00ED41AC">
              <w:rPr>
                <w:rFonts w:cs="Times New Roman"/>
                <w:szCs w:val="24"/>
              </w:rPr>
              <w:t>.789a</w:t>
            </w:r>
          </w:p>
        </w:tc>
        <w:tc>
          <w:tcPr>
            <w:tcW w:w="0" w:type="auto"/>
            <w:hideMark/>
          </w:tcPr>
          <w:p w14:paraId="0B71AEF4" w14:textId="77777777" w:rsidR="00613CA9" w:rsidRPr="00ED41AC" w:rsidRDefault="00613CA9" w:rsidP="001332DE">
            <w:pPr>
              <w:spacing w:after="0" w:line="360" w:lineRule="auto"/>
              <w:jc w:val="both"/>
              <w:rPr>
                <w:rFonts w:cs="Times New Roman"/>
                <w:szCs w:val="24"/>
              </w:rPr>
            </w:pPr>
            <w:r w:rsidRPr="00ED41AC">
              <w:rPr>
                <w:rFonts w:cs="Times New Roman"/>
                <w:szCs w:val="24"/>
              </w:rPr>
              <w:t>.623</w:t>
            </w:r>
          </w:p>
        </w:tc>
        <w:tc>
          <w:tcPr>
            <w:tcW w:w="0" w:type="auto"/>
            <w:hideMark/>
          </w:tcPr>
          <w:p w14:paraId="23518DAD" w14:textId="77777777" w:rsidR="00613CA9" w:rsidRPr="00ED41AC" w:rsidRDefault="00613CA9" w:rsidP="001332DE">
            <w:pPr>
              <w:spacing w:after="0" w:line="360" w:lineRule="auto"/>
              <w:jc w:val="both"/>
              <w:rPr>
                <w:rFonts w:cs="Times New Roman"/>
                <w:szCs w:val="24"/>
              </w:rPr>
            </w:pPr>
            <w:r w:rsidRPr="00ED41AC">
              <w:rPr>
                <w:rFonts w:cs="Times New Roman"/>
                <w:szCs w:val="24"/>
              </w:rPr>
              <w:t>.613</w:t>
            </w:r>
          </w:p>
        </w:tc>
        <w:tc>
          <w:tcPr>
            <w:tcW w:w="0" w:type="auto"/>
            <w:hideMark/>
          </w:tcPr>
          <w:p w14:paraId="0AB4E0D2" w14:textId="77777777" w:rsidR="00613CA9" w:rsidRPr="00ED41AC" w:rsidRDefault="00613CA9" w:rsidP="001332DE">
            <w:pPr>
              <w:spacing w:after="0" w:line="360" w:lineRule="auto"/>
              <w:jc w:val="both"/>
              <w:rPr>
                <w:rFonts w:cs="Times New Roman"/>
                <w:szCs w:val="24"/>
              </w:rPr>
            </w:pPr>
            <w:r w:rsidRPr="00ED41AC">
              <w:rPr>
                <w:rFonts w:cs="Times New Roman"/>
                <w:szCs w:val="24"/>
              </w:rPr>
              <w:t>.40215</w:t>
            </w:r>
          </w:p>
        </w:tc>
      </w:tr>
    </w:tbl>
    <w:p w14:paraId="19B3D31C" w14:textId="77777777" w:rsidR="00613CA9" w:rsidRPr="007A0AFA" w:rsidRDefault="00613CA9" w:rsidP="00613CA9">
      <w:pPr>
        <w:spacing w:before="120" w:after="120" w:line="360" w:lineRule="auto"/>
        <w:jc w:val="both"/>
        <w:rPr>
          <w:rFonts w:cs="Times New Roman"/>
          <w:sz w:val="20"/>
          <w:szCs w:val="20"/>
        </w:rPr>
      </w:pPr>
      <w:r w:rsidRPr="007A0AFA">
        <w:rPr>
          <w:rFonts w:cs="Times New Roman"/>
          <w:i/>
          <w:iCs/>
          <w:sz w:val="20"/>
          <w:szCs w:val="20"/>
        </w:rPr>
        <w:t>a. Predictors: (Constant), CR, US, CM, IN, TR, EF</w:t>
      </w:r>
    </w:p>
    <w:p w14:paraId="22B6A680" w14:textId="255B324E" w:rsidR="00613CA9" w:rsidRDefault="00613CA9" w:rsidP="00613CA9">
      <w:pPr>
        <w:spacing w:before="120" w:after="120" w:line="360" w:lineRule="auto"/>
        <w:jc w:val="both"/>
        <w:rPr>
          <w:rFonts w:cs="Times New Roman"/>
          <w:szCs w:val="24"/>
        </w:rPr>
      </w:pPr>
      <w:r w:rsidRPr="00A570F6">
        <w:rPr>
          <w:rFonts w:cs="Times New Roman"/>
          <w:szCs w:val="24"/>
        </w:rPr>
        <w:t xml:space="preserve">According to Table </w:t>
      </w:r>
      <w:r>
        <w:rPr>
          <w:rFonts w:cs="Times New Roman"/>
          <w:szCs w:val="24"/>
        </w:rPr>
        <w:t>2</w:t>
      </w:r>
      <w:r w:rsidRPr="00A570F6">
        <w:rPr>
          <w:rFonts w:cs="Times New Roman"/>
          <w:szCs w:val="24"/>
        </w:rPr>
        <w:t>, the value of the multiple correlation coefficient equals 0.789. This means that there is a strong positive correlation between all of the predictors in our analysis. The coefficient of determination is 0.623, which shows that there is a considerable influence of the six predictors on the dependent variable and its outcomes because they explain 62.3% of the variances. Another 37.7% are determined by external environmental factors. The value of the adjusted R² is 0.613, which means that after adjustments, predictors explain 61.3% of the variances.</w:t>
      </w:r>
      <w:r>
        <w:rPr>
          <w:rFonts w:cs="Times New Roman"/>
          <w:szCs w:val="24"/>
        </w:rPr>
        <w:t xml:space="preserve"> </w:t>
      </w:r>
      <w:r w:rsidRPr="00ED41AC">
        <w:rPr>
          <w:rFonts w:cs="Times New Roman"/>
          <w:szCs w:val="24"/>
        </w:rPr>
        <w:t xml:space="preserve">The model's significance was assessed through the F-statistic, as presented in Table </w:t>
      </w:r>
      <w:r>
        <w:rPr>
          <w:rFonts w:cs="Times New Roman"/>
          <w:szCs w:val="24"/>
        </w:rPr>
        <w:t>2</w:t>
      </w:r>
      <w:r w:rsidRPr="00ED41AC">
        <w:rPr>
          <w:rFonts w:cs="Times New Roman"/>
          <w:szCs w:val="24"/>
        </w:rPr>
        <w:t>.</w:t>
      </w:r>
    </w:p>
    <w:p w14:paraId="541E415C" w14:textId="17A74992" w:rsidR="00613CA9" w:rsidRPr="00ED41AC" w:rsidRDefault="00613CA9" w:rsidP="00613CA9">
      <w:pPr>
        <w:spacing w:before="120" w:after="0" w:line="360" w:lineRule="auto"/>
        <w:jc w:val="both"/>
        <w:rPr>
          <w:rFonts w:cs="Times New Roman"/>
          <w:szCs w:val="24"/>
        </w:rPr>
      </w:pPr>
      <w:bookmarkStart w:id="5" w:name="_Toc229990397"/>
      <w:r w:rsidRPr="00E736F4">
        <w:rPr>
          <w:rFonts w:eastAsia="Times New Roman"/>
          <w:color w:val="181717"/>
          <w:szCs w:val="24"/>
        </w:rPr>
        <w:t xml:space="preserve">Table </w:t>
      </w:r>
      <w:r>
        <w:rPr>
          <w:rFonts w:eastAsia="Times New Roman"/>
          <w:color w:val="181717"/>
          <w:szCs w:val="24"/>
        </w:rPr>
        <w:t>3</w:t>
      </w:r>
      <w:r w:rsidRPr="00E736F4">
        <w:rPr>
          <w:rFonts w:eastAsia="Times New Roman"/>
          <w:color w:val="181717"/>
          <w:szCs w:val="24"/>
        </w:rPr>
        <w:t xml:space="preserve">. </w:t>
      </w:r>
      <w:r w:rsidRPr="00ED41AC">
        <w:rPr>
          <w:rFonts w:cs="Times New Roman"/>
          <w:szCs w:val="24"/>
        </w:rPr>
        <w:t>ANOVA</w:t>
      </w:r>
      <w:bookmarkEnd w:id="5"/>
    </w:p>
    <w:tbl>
      <w:tblPr>
        <w:tblStyle w:val="TableGridLight1"/>
        <w:tblW w:w="8792" w:type="dxa"/>
        <w:tblLook w:val="04A0" w:firstRow="1" w:lastRow="0" w:firstColumn="1" w:lastColumn="0" w:noHBand="0" w:noVBand="1"/>
      </w:tblPr>
      <w:tblGrid>
        <w:gridCol w:w="422"/>
        <w:gridCol w:w="1545"/>
        <w:gridCol w:w="2084"/>
        <w:gridCol w:w="707"/>
        <w:gridCol w:w="1790"/>
        <w:gridCol w:w="1063"/>
        <w:gridCol w:w="1181"/>
      </w:tblGrid>
      <w:tr w:rsidR="00613CA9" w:rsidRPr="001253EE" w14:paraId="1E6CF913" w14:textId="77777777" w:rsidTr="001332DE">
        <w:trPr>
          <w:trHeight w:val="405"/>
        </w:trPr>
        <w:tc>
          <w:tcPr>
            <w:tcW w:w="0" w:type="auto"/>
            <w:gridSpan w:val="2"/>
          </w:tcPr>
          <w:p w14:paraId="27BE3D7E" w14:textId="77777777" w:rsidR="00613CA9" w:rsidRPr="00ED41AC" w:rsidRDefault="00613CA9" w:rsidP="001332DE">
            <w:pPr>
              <w:spacing w:after="0" w:line="360" w:lineRule="auto"/>
              <w:jc w:val="both"/>
              <w:rPr>
                <w:rFonts w:cs="Times New Roman"/>
                <w:sz w:val="22"/>
              </w:rPr>
            </w:pPr>
            <w:r w:rsidRPr="00ED41AC">
              <w:rPr>
                <w:rFonts w:cs="Times New Roman"/>
                <w:sz w:val="22"/>
              </w:rPr>
              <w:t>Model</w:t>
            </w:r>
          </w:p>
        </w:tc>
        <w:tc>
          <w:tcPr>
            <w:tcW w:w="0" w:type="auto"/>
          </w:tcPr>
          <w:p w14:paraId="4849C0CC" w14:textId="77777777" w:rsidR="00613CA9" w:rsidRPr="00ED41AC" w:rsidRDefault="00613CA9" w:rsidP="001332DE">
            <w:pPr>
              <w:spacing w:after="0" w:line="360" w:lineRule="auto"/>
              <w:jc w:val="center"/>
              <w:rPr>
                <w:rFonts w:cs="Times New Roman"/>
                <w:sz w:val="22"/>
              </w:rPr>
            </w:pPr>
            <w:r w:rsidRPr="00ED41AC">
              <w:rPr>
                <w:rFonts w:cs="Times New Roman"/>
                <w:sz w:val="22"/>
              </w:rPr>
              <w:t>Sum of Squares</w:t>
            </w:r>
          </w:p>
        </w:tc>
        <w:tc>
          <w:tcPr>
            <w:tcW w:w="0" w:type="auto"/>
          </w:tcPr>
          <w:p w14:paraId="50762A86" w14:textId="77777777" w:rsidR="00613CA9" w:rsidRPr="00ED41AC" w:rsidRDefault="00613CA9" w:rsidP="001332DE">
            <w:pPr>
              <w:spacing w:after="0" w:line="360" w:lineRule="auto"/>
              <w:jc w:val="center"/>
              <w:rPr>
                <w:rFonts w:cs="Times New Roman"/>
                <w:sz w:val="22"/>
              </w:rPr>
            </w:pPr>
            <w:proofErr w:type="spellStart"/>
            <w:r w:rsidRPr="00ED41AC">
              <w:rPr>
                <w:rFonts w:cs="Times New Roman"/>
                <w:sz w:val="22"/>
              </w:rPr>
              <w:t>df</w:t>
            </w:r>
            <w:proofErr w:type="spellEnd"/>
          </w:p>
        </w:tc>
        <w:tc>
          <w:tcPr>
            <w:tcW w:w="0" w:type="auto"/>
          </w:tcPr>
          <w:p w14:paraId="604A3D68" w14:textId="77777777" w:rsidR="00613CA9" w:rsidRPr="00ED41AC" w:rsidRDefault="00613CA9" w:rsidP="001332DE">
            <w:pPr>
              <w:spacing w:after="0" w:line="360" w:lineRule="auto"/>
              <w:jc w:val="center"/>
              <w:rPr>
                <w:rFonts w:cs="Times New Roman"/>
                <w:sz w:val="22"/>
              </w:rPr>
            </w:pPr>
            <w:r w:rsidRPr="00ED41AC">
              <w:rPr>
                <w:rFonts w:cs="Times New Roman"/>
                <w:sz w:val="22"/>
              </w:rPr>
              <w:t>Mean Square</w:t>
            </w:r>
          </w:p>
        </w:tc>
        <w:tc>
          <w:tcPr>
            <w:tcW w:w="0" w:type="auto"/>
          </w:tcPr>
          <w:p w14:paraId="1B2299BF" w14:textId="77777777" w:rsidR="00613CA9" w:rsidRPr="00ED41AC" w:rsidRDefault="00613CA9" w:rsidP="001332DE">
            <w:pPr>
              <w:spacing w:after="0" w:line="360" w:lineRule="auto"/>
              <w:jc w:val="center"/>
              <w:rPr>
                <w:rFonts w:cs="Times New Roman"/>
                <w:sz w:val="22"/>
              </w:rPr>
            </w:pPr>
            <w:r w:rsidRPr="00ED41AC">
              <w:rPr>
                <w:rFonts w:cs="Times New Roman"/>
                <w:sz w:val="22"/>
              </w:rPr>
              <w:t>F</w:t>
            </w:r>
          </w:p>
        </w:tc>
        <w:tc>
          <w:tcPr>
            <w:tcW w:w="1181" w:type="dxa"/>
          </w:tcPr>
          <w:p w14:paraId="1970FB7F" w14:textId="77777777" w:rsidR="00613CA9" w:rsidRPr="001253EE" w:rsidRDefault="00613CA9" w:rsidP="001332DE">
            <w:pPr>
              <w:spacing w:after="0" w:line="360" w:lineRule="auto"/>
              <w:jc w:val="center"/>
              <w:rPr>
                <w:rFonts w:cs="Times New Roman"/>
                <w:sz w:val="22"/>
              </w:rPr>
            </w:pPr>
            <w:r w:rsidRPr="00ED41AC">
              <w:rPr>
                <w:rFonts w:cs="Times New Roman"/>
                <w:sz w:val="22"/>
              </w:rPr>
              <w:t>Sig.</w:t>
            </w:r>
          </w:p>
        </w:tc>
      </w:tr>
      <w:tr w:rsidR="00613CA9" w:rsidRPr="001253EE" w14:paraId="6822C7F5" w14:textId="77777777" w:rsidTr="001332DE">
        <w:trPr>
          <w:trHeight w:val="384"/>
        </w:trPr>
        <w:tc>
          <w:tcPr>
            <w:tcW w:w="0" w:type="auto"/>
            <w:vMerge w:val="restart"/>
            <w:hideMark/>
          </w:tcPr>
          <w:p w14:paraId="559C21BF" w14:textId="77777777" w:rsidR="00613CA9" w:rsidRPr="00ED41AC" w:rsidRDefault="00613CA9" w:rsidP="001332DE">
            <w:pPr>
              <w:spacing w:after="0" w:line="360" w:lineRule="auto"/>
              <w:jc w:val="both"/>
              <w:rPr>
                <w:rFonts w:cs="Times New Roman"/>
                <w:sz w:val="22"/>
              </w:rPr>
            </w:pPr>
            <w:r w:rsidRPr="00ED41AC">
              <w:rPr>
                <w:rFonts w:cs="Times New Roman"/>
                <w:sz w:val="22"/>
              </w:rPr>
              <w:t>1</w:t>
            </w:r>
          </w:p>
        </w:tc>
        <w:tc>
          <w:tcPr>
            <w:tcW w:w="0" w:type="auto"/>
            <w:hideMark/>
          </w:tcPr>
          <w:p w14:paraId="61C7800A" w14:textId="77777777" w:rsidR="00613CA9" w:rsidRPr="00ED41AC" w:rsidRDefault="00613CA9" w:rsidP="001332DE">
            <w:pPr>
              <w:spacing w:after="0" w:line="360" w:lineRule="auto"/>
              <w:jc w:val="both"/>
              <w:rPr>
                <w:rFonts w:cs="Times New Roman"/>
                <w:sz w:val="22"/>
              </w:rPr>
            </w:pPr>
            <w:r w:rsidRPr="00ED41AC">
              <w:rPr>
                <w:rFonts w:cs="Times New Roman"/>
                <w:sz w:val="22"/>
              </w:rPr>
              <w:t>Regression</w:t>
            </w:r>
          </w:p>
        </w:tc>
        <w:tc>
          <w:tcPr>
            <w:tcW w:w="0" w:type="auto"/>
            <w:hideMark/>
          </w:tcPr>
          <w:p w14:paraId="3D87EFCD" w14:textId="77777777" w:rsidR="00613CA9" w:rsidRPr="00ED41AC" w:rsidRDefault="00613CA9" w:rsidP="001332DE">
            <w:pPr>
              <w:spacing w:after="0" w:line="360" w:lineRule="auto"/>
              <w:jc w:val="center"/>
              <w:rPr>
                <w:rFonts w:cs="Times New Roman"/>
                <w:sz w:val="22"/>
              </w:rPr>
            </w:pPr>
            <w:r w:rsidRPr="00ED41AC">
              <w:rPr>
                <w:rFonts w:cs="Times New Roman"/>
                <w:sz w:val="22"/>
              </w:rPr>
              <w:t>62.847</w:t>
            </w:r>
          </w:p>
        </w:tc>
        <w:tc>
          <w:tcPr>
            <w:tcW w:w="0" w:type="auto"/>
            <w:hideMark/>
          </w:tcPr>
          <w:p w14:paraId="23076218" w14:textId="77777777" w:rsidR="00613CA9" w:rsidRPr="00ED41AC" w:rsidRDefault="00613CA9" w:rsidP="001332DE">
            <w:pPr>
              <w:spacing w:after="0" w:line="360" w:lineRule="auto"/>
              <w:jc w:val="center"/>
              <w:rPr>
                <w:rFonts w:cs="Times New Roman"/>
                <w:sz w:val="22"/>
              </w:rPr>
            </w:pPr>
            <w:r w:rsidRPr="00ED41AC">
              <w:rPr>
                <w:rFonts w:cs="Times New Roman"/>
                <w:sz w:val="22"/>
              </w:rPr>
              <w:t>6</w:t>
            </w:r>
          </w:p>
        </w:tc>
        <w:tc>
          <w:tcPr>
            <w:tcW w:w="0" w:type="auto"/>
            <w:hideMark/>
          </w:tcPr>
          <w:p w14:paraId="6D4AE54B" w14:textId="77777777" w:rsidR="00613CA9" w:rsidRPr="00ED41AC" w:rsidRDefault="00613CA9" w:rsidP="001332DE">
            <w:pPr>
              <w:spacing w:after="0" w:line="360" w:lineRule="auto"/>
              <w:jc w:val="center"/>
              <w:rPr>
                <w:rFonts w:cs="Times New Roman"/>
                <w:sz w:val="22"/>
              </w:rPr>
            </w:pPr>
            <w:r w:rsidRPr="00ED41AC">
              <w:rPr>
                <w:rFonts w:cs="Times New Roman"/>
                <w:sz w:val="22"/>
              </w:rPr>
              <w:t>10.475</w:t>
            </w:r>
          </w:p>
        </w:tc>
        <w:tc>
          <w:tcPr>
            <w:tcW w:w="0" w:type="auto"/>
            <w:hideMark/>
          </w:tcPr>
          <w:p w14:paraId="6D4B5F63" w14:textId="77777777" w:rsidR="00613CA9" w:rsidRPr="00ED41AC" w:rsidRDefault="00613CA9" w:rsidP="001332DE">
            <w:pPr>
              <w:spacing w:after="0" w:line="360" w:lineRule="auto"/>
              <w:jc w:val="center"/>
              <w:rPr>
                <w:rFonts w:cs="Times New Roman"/>
                <w:sz w:val="22"/>
              </w:rPr>
            </w:pPr>
            <w:r w:rsidRPr="00ED41AC">
              <w:rPr>
                <w:rFonts w:cs="Times New Roman"/>
                <w:sz w:val="22"/>
              </w:rPr>
              <w:t>64.782</w:t>
            </w:r>
          </w:p>
        </w:tc>
        <w:tc>
          <w:tcPr>
            <w:tcW w:w="1181" w:type="dxa"/>
          </w:tcPr>
          <w:p w14:paraId="7F973D97" w14:textId="77777777" w:rsidR="00613CA9" w:rsidRPr="001253EE" w:rsidRDefault="00613CA9" w:rsidP="001332DE">
            <w:pPr>
              <w:spacing w:after="0" w:line="360" w:lineRule="auto"/>
              <w:jc w:val="center"/>
              <w:rPr>
                <w:rFonts w:cs="Times New Roman"/>
                <w:sz w:val="22"/>
              </w:rPr>
            </w:pPr>
            <w:r w:rsidRPr="00ED41AC">
              <w:rPr>
                <w:rFonts w:cs="Times New Roman"/>
                <w:sz w:val="22"/>
              </w:rPr>
              <w:t>.000b</w:t>
            </w:r>
          </w:p>
        </w:tc>
      </w:tr>
      <w:tr w:rsidR="00613CA9" w:rsidRPr="001253EE" w14:paraId="77860A70" w14:textId="77777777" w:rsidTr="001332DE">
        <w:trPr>
          <w:trHeight w:val="134"/>
        </w:trPr>
        <w:tc>
          <w:tcPr>
            <w:tcW w:w="0" w:type="auto"/>
            <w:vMerge/>
            <w:hideMark/>
          </w:tcPr>
          <w:p w14:paraId="195DF6D2" w14:textId="77777777" w:rsidR="00613CA9" w:rsidRPr="00ED41AC" w:rsidRDefault="00613CA9" w:rsidP="001332DE">
            <w:pPr>
              <w:spacing w:after="0" w:line="360" w:lineRule="auto"/>
              <w:jc w:val="both"/>
              <w:rPr>
                <w:rFonts w:cs="Times New Roman"/>
                <w:sz w:val="22"/>
              </w:rPr>
            </w:pPr>
          </w:p>
        </w:tc>
        <w:tc>
          <w:tcPr>
            <w:tcW w:w="0" w:type="auto"/>
            <w:hideMark/>
          </w:tcPr>
          <w:p w14:paraId="44D29095" w14:textId="77777777" w:rsidR="00613CA9" w:rsidRPr="00ED41AC" w:rsidRDefault="00613CA9" w:rsidP="001332DE">
            <w:pPr>
              <w:spacing w:after="0" w:line="360" w:lineRule="auto"/>
              <w:jc w:val="both"/>
              <w:rPr>
                <w:rFonts w:cs="Times New Roman"/>
                <w:sz w:val="22"/>
              </w:rPr>
            </w:pPr>
            <w:r w:rsidRPr="00ED41AC">
              <w:rPr>
                <w:rFonts w:cs="Times New Roman"/>
                <w:sz w:val="22"/>
              </w:rPr>
              <w:t>Residual</w:t>
            </w:r>
          </w:p>
        </w:tc>
        <w:tc>
          <w:tcPr>
            <w:tcW w:w="0" w:type="auto"/>
            <w:hideMark/>
          </w:tcPr>
          <w:p w14:paraId="5D018A1B" w14:textId="77777777" w:rsidR="00613CA9" w:rsidRPr="00ED41AC" w:rsidRDefault="00613CA9" w:rsidP="001332DE">
            <w:pPr>
              <w:spacing w:after="0" w:line="360" w:lineRule="auto"/>
              <w:jc w:val="center"/>
              <w:rPr>
                <w:rFonts w:cs="Times New Roman"/>
                <w:sz w:val="22"/>
              </w:rPr>
            </w:pPr>
            <w:r w:rsidRPr="00ED41AC">
              <w:rPr>
                <w:rFonts w:cs="Times New Roman"/>
                <w:sz w:val="22"/>
              </w:rPr>
              <w:t>37.982</w:t>
            </w:r>
          </w:p>
        </w:tc>
        <w:tc>
          <w:tcPr>
            <w:tcW w:w="0" w:type="auto"/>
            <w:hideMark/>
          </w:tcPr>
          <w:p w14:paraId="1F1C0FD1" w14:textId="77777777" w:rsidR="00613CA9" w:rsidRPr="00ED41AC" w:rsidRDefault="00613CA9" w:rsidP="001332DE">
            <w:pPr>
              <w:spacing w:after="0" w:line="360" w:lineRule="auto"/>
              <w:jc w:val="center"/>
              <w:rPr>
                <w:rFonts w:cs="Times New Roman"/>
                <w:sz w:val="22"/>
              </w:rPr>
            </w:pPr>
            <w:r w:rsidRPr="00ED41AC">
              <w:rPr>
                <w:rFonts w:cs="Times New Roman"/>
                <w:sz w:val="22"/>
              </w:rPr>
              <w:t>229</w:t>
            </w:r>
          </w:p>
        </w:tc>
        <w:tc>
          <w:tcPr>
            <w:tcW w:w="0" w:type="auto"/>
            <w:hideMark/>
          </w:tcPr>
          <w:p w14:paraId="12978EE2" w14:textId="77777777" w:rsidR="00613CA9" w:rsidRPr="00ED41AC" w:rsidRDefault="00613CA9" w:rsidP="001332DE">
            <w:pPr>
              <w:spacing w:after="0" w:line="360" w:lineRule="auto"/>
              <w:jc w:val="center"/>
              <w:rPr>
                <w:rFonts w:cs="Times New Roman"/>
                <w:sz w:val="22"/>
              </w:rPr>
            </w:pPr>
            <w:r w:rsidRPr="00ED41AC">
              <w:rPr>
                <w:rFonts w:cs="Times New Roman"/>
                <w:sz w:val="22"/>
              </w:rPr>
              <w:t>.166</w:t>
            </w:r>
          </w:p>
        </w:tc>
        <w:tc>
          <w:tcPr>
            <w:tcW w:w="0" w:type="auto"/>
            <w:hideMark/>
          </w:tcPr>
          <w:p w14:paraId="5B51324A" w14:textId="77777777" w:rsidR="00613CA9" w:rsidRPr="00ED41AC" w:rsidRDefault="00613CA9" w:rsidP="001332DE">
            <w:pPr>
              <w:spacing w:after="0" w:line="360" w:lineRule="auto"/>
              <w:jc w:val="center"/>
              <w:rPr>
                <w:rFonts w:cs="Times New Roman"/>
                <w:sz w:val="22"/>
              </w:rPr>
            </w:pPr>
          </w:p>
        </w:tc>
        <w:tc>
          <w:tcPr>
            <w:tcW w:w="1181" w:type="dxa"/>
          </w:tcPr>
          <w:p w14:paraId="550337F1" w14:textId="77777777" w:rsidR="00613CA9" w:rsidRPr="001253EE" w:rsidRDefault="00613CA9" w:rsidP="001332DE">
            <w:pPr>
              <w:spacing w:after="0" w:line="360" w:lineRule="auto"/>
              <w:jc w:val="center"/>
              <w:rPr>
                <w:rFonts w:cs="Times New Roman"/>
                <w:sz w:val="22"/>
              </w:rPr>
            </w:pPr>
          </w:p>
        </w:tc>
      </w:tr>
      <w:tr w:rsidR="00613CA9" w:rsidRPr="001253EE" w14:paraId="55205DE2" w14:textId="77777777" w:rsidTr="001332DE">
        <w:trPr>
          <w:trHeight w:val="134"/>
        </w:trPr>
        <w:tc>
          <w:tcPr>
            <w:tcW w:w="0" w:type="auto"/>
            <w:vMerge/>
            <w:hideMark/>
          </w:tcPr>
          <w:p w14:paraId="6C4B6E7C" w14:textId="77777777" w:rsidR="00613CA9" w:rsidRPr="00ED41AC" w:rsidRDefault="00613CA9" w:rsidP="001332DE">
            <w:pPr>
              <w:spacing w:after="0" w:line="360" w:lineRule="auto"/>
              <w:jc w:val="both"/>
              <w:rPr>
                <w:rFonts w:cs="Times New Roman"/>
                <w:sz w:val="22"/>
              </w:rPr>
            </w:pPr>
          </w:p>
        </w:tc>
        <w:tc>
          <w:tcPr>
            <w:tcW w:w="0" w:type="auto"/>
            <w:hideMark/>
          </w:tcPr>
          <w:p w14:paraId="24DA785F" w14:textId="77777777" w:rsidR="00613CA9" w:rsidRPr="00ED41AC" w:rsidRDefault="00613CA9" w:rsidP="001332DE">
            <w:pPr>
              <w:spacing w:after="0" w:line="360" w:lineRule="auto"/>
              <w:jc w:val="both"/>
              <w:rPr>
                <w:rFonts w:cs="Times New Roman"/>
                <w:sz w:val="22"/>
              </w:rPr>
            </w:pPr>
            <w:r w:rsidRPr="00ED41AC">
              <w:rPr>
                <w:rFonts w:cs="Times New Roman"/>
                <w:sz w:val="22"/>
              </w:rPr>
              <w:t>Total</w:t>
            </w:r>
          </w:p>
        </w:tc>
        <w:tc>
          <w:tcPr>
            <w:tcW w:w="0" w:type="auto"/>
            <w:hideMark/>
          </w:tcPr>
          <w:p w14:paraId="6C488896" w14:textId="77777777" w:rsidR="00613CA9" w:rsidRPr="00ED41AC" w:rsidRDefault="00613CA9" w:rsidP="001332DE">
            <w:pPr>
              <w:spacing w:after="0" w:line="360" w:lineRule="auto"/>
              <w:jc w:val="center"/>
              <w:rPr>
                <w:rFonts w:cs="Times New Roman"/>
                <w:sz w:val="22"/>
              </w:rPr>
            </w:pPr>
            <w:r w:rsidRPr="00ED41AC">
              <w:rPr>
                <w:rFonts w:cs="Times New Roman"/>
                <w:sz w:val="22"/>
              </w:rPr>
              <w:t>100.829</w:t>
            </w:r>
          </w:p>
        </w:tc>
        <w:tc>
          <w:tcPr>
            <w:tcW w:w="0" w:type="auto"/>
            <w:hideMark/>
          </w:tcPr>
          <w:p w14:paraId="35ACC58C" w14:textId="77777777" w:rsidR="00613CA9" w:rsidRPr="00ED41AC" w:rsidRDefault="00613CA9" w:rsidP="001332DE">
            <w:pPr>
              <w:spacing w:after="0" w:line="360" w:lineRule="auto"/>
              <w:jc w:val="center"/>
              <w:rPr>
                <w:rFonts w:cs="Times New Roman"/>
                <w:sz w:val="22"/>
              </w:rPr>
            </w:pPr>
            <w:r w:rsidRPr="00ED41AC">
              <w:rPr>
                <w:rFonts w:cs="Times New Roman"/>
                <w:sz w:val="22"/>
              </w:rPr>
              <w:t>235</w:t>
            </w:r>
          </w:p>
        </w:tc>
        <w:tc>
          <w:tcPr>
            <w:tcW w:w="0" w:type="auto"/>
            <w:hideMark/>
          </w:tcPr>
          <w:p w14:paraId="40236ACB" w14:textId="77777777" w:rsidR="00613CA9" w:rsidRPr="00ED41AC" w:rsidRDefault="00613CA9" w:rsidP="001332DE">
            <w:pPr>
              <w:spacing w:after="0" w:line="360" w:lineRule="auto"/>
              <w:jc w:val="center"/>
              <w:rPr>
                <w:rFonts w:cs="Times New Roman"/>
                <w:sz w:val="22"/>
              </w:rPr>
            </w:pPr>
          </w:p>
        </w:tc>
        <w:tc>
          <w:tcPr>
            <w:tcW w:w="0" w:type="auto"/>
            <w:hideMark/>
          </w:tcPr>
          <w:p w14:paraId="29C4CCE8" w14:textId="77777777" w:rsidR="00613CA9" w:rsidRPr="00ED41AC" w:rsidRDefault="00613CA9" w:rsidP="001332DE">
            <w:pPr>
              <w:spacing w:after="0" w:line="360" w:lineRule="auto"/>
              <w:jc w:val="center"/>
              <w:rPr>
                <w:rFonts w:cs="Times New Roman"/>
                <w:sz w:val="22"/>
              </w:rPr>
            </w:pPr>
          </w:p>
        </w:tc>
        <w:tc>
          <w:tcPr>
            <w:tcW w:w="1181" w:type="dxa"/>
          </w:tcPr>
          <w:p w14:paraId="7DF5ADFA" w14:textId="77777777" w:rsidR="00613CA9" w:rsidRPr="001253EE" w:rsidRDefault="00613CA9" w:rsidP="001332DE">
            <w:pPr>
              <w:spacing w:after="0" w:line="360" w:lineRule="auto"/>
              <w:jc w:val="center"/>
              <w:rPr>
                <w:rFonts w:cs="Times New Roman"/>
                <w:sz w:val="22"/>
              </w:rPr>
            </w:pPr>
          </w:p>
        </w:tc>
      </w:tr>
    </w:tbl>
    <w:p w14:paraId="55BE8FED" w14:textId="77777777" w:rsidR="00613CA9" w:rsidRPr="007A0AFA" w:rsidRDefault="00613CA9" w:rsidP="00613CA9">
      <w:pPr>
        <w:pStyle w:val="ListParagraph"/>
        <w:numPr>
          <w:ilvl w:val="1"/>
          <w:numId w:val="15"/>
        </w:numPr>
        <w:spacing w:after="120" w:line="360" w:lineRule="auto"/>
        <w:ind w:left="473"/>
        <w:jc w:val="both"/>
        <w:rPr>
          <w:rFonts w:cs="Times New Roman"/>
          <w:i/>
          <w:iCs/>
          <w:sz w:val="20"/>
          <w:szCs w:val="20"/>
        </w:rPr>
      </w:pPr>
      <w:r w:rsidRPr="007A0AFA">
        <w:rPr>
          <w:rFonts w:cs="Times New Roman"/>
          <w:i/>
          <w:iCs/>
          <w:sz w:val="20"/>
          <w:szCs w:val="20"/>
        </w:rPr>
        <w:t>Dependent Variable: FMO</w:t>
      </w:r>
    </w:p>
    <w:p w14:paraId="0AA4555C" w14:textId="77777777" w:rsidR="00613CA9" w:rsidRPr="007A0AFA" w:rsidRDefault="00613CA9" w:rsidP="00613CA9">
      <w:pPr>
        <w:pStyle w:val="ListParagraph"/>
        <w:numPr>
          <w:ilvl w:val="1"/>
          <w:numId w:val="15"/>
        </w:numPr>
        <w:spacing w:after="120" w:line="360" w:lineRule="auto"/>
        <w:ind w:left="473"/>
        <w:jc w:val="both"/>
        <w:rPr>
          <w:rFonts w:cs="Times New Roman"/>
          <w:sz w:val="20"/>
          <w:szCs w:val="20"/>
        </w:rPr>
      </w:pPr>
      <w:r w:rsidRPr="007A0AFA">
        <w:rPr>
          <w:rFonts w:cs="Times New Roman"/>
          <w:i/>
          <w:iCs/>
          <w:sz w:val="20"/>
          <w:szCs w:val="20"/>
        </w:rPr>
        <w:t>Predictors: (Constant), CR, US, CM, IN, TR, EF</w:t>
      </w:r>
    </w:p>
    <w:p w14:paraId="5D6B713A" w14:textId="6CE37D45" w:rsidR="00613CA9" w:rsidRPr="00ED41AC" w:rsidRDefault="00613CA9" w:rsidP="00613CA9">
      <w:pPr>
        <w:spacing w:before="120" w:after="120" w:line="360" w:lineRule="auto"/>
        <w:jc w:val="both"/>
        <w:rPr>
          <w:rFonts w:cs="Times New Roman"/>
          <w:szCs w:val="24"/>
        </w:rPr>
      </w:pPr>
      <w:r w:rsidRPr="00ED41AC">
        <w:rPr>
          <w:rFonts w:cs="Times New Roman"/>
          <w:szCs w:val="24"/>
        </w:rPr>
        <w:t>The ANOVA results show that the regression model is statistically significant (F = 64.782, p &lt; .001). The regression sum of squares (62.847) constitutes a large portion of the total sum of squares (100.829), while the residual sum of squares (37.982) is relatively low. This confirms that the six IBEX attributes jointly affect financial management outcomes and that the model is reliable for interpretation.</w:t>
      </w:r>
    </w:p>
    <w:p w14:paraId="7DE3B0DB" w14:textId="1E73280A" w:rsidR="00613CA9" w:rsidRPr="00ED41AC" w:rsidRDefault="00613CA9" w:rsidP="00613CA9">
      <w:pPr>
        <w:spacing w:before="120" w:after="0" w:line="360" w:lineRule="auto"/>
        <w:jc w:val="both"/>
        <w:rPr>
          <w:rFonts w:cs="Times New Roman"/>
          <w:szCs w:val="24"/>
        </w:rPr>
      </w:pPr>
      <w:bookmarkStart w:id="6" w:name="_Toc229990398"/>
      <w:r w:rsidRPr="00E736F4">
        <w:rPr>
          <w:rFonts w:eastAsia="Times New Roman"/>
          <w:color w:val="181717"/>
          <w:szCs w:val="24"/>
        </w:rPr>
        <w:t xml:space="preserve">Table </w:t>
      </w:r>
      <w:r>
        <w:rPr>
          <w:rFonts w:eastAsia="Times New Roman"/>
          <w:color w:val="181717"/>
          <w:szCs w:val="24"/>
        </w:rPr>
        <w:t>4</w:t>
      </w:r>
      <w:r w:rsidRPr="00E736F4">
        <w:rPr>
          <w:rFonts w:eastAsia="Times New Roman"/>
          <w:color w:val="181717"/>
          <w:szCs w:val="24"/>
        </w:rPr>
        <w:t xml:space="preserve">. </w:t>
      </w:r>
      <w:r w:rsidRPr="00ED41AC">
        <w:rPr>
          <w:rFonts w:cs="Times New Roman"/>
          <w:szCs w:val="24"/>
        </w:rPr>
        <w:t>Coefficients</w:t>
      </w:r>
      <w:bookmarkEnd w:id="6"/>
    </w:p>
    <w:tbl>
      <w:tblPr>
        <w:tblStyle w:val="TableGridLight1"/>
        <w:tblW w:w="5000" w:type="pct"/>
        <w:tblLook w:val="04A0" w:firstRow="1" w:lastRow="0" w:firstColumn="1" w:lastColumn="0" w:noHBand="0" w:noVBand="1"/>
      </w:tblPr>
      <w:tblGrid>
        <w:gridCol w:w="1980"/>
        <w:gridCol w:w="1558"/>
        <w:gridCol w:w="1419"/>
        <w:gridCol w:w="2858"/>
        <w:gridCol w:w="957"/>
        <w:gridCol w:w="857"/>
      </w:tblGrid>
      <w:tr w:rsidR="00613CA9" w:rsidRPr="001253EE" w14:paraId="1B25F8CE" w14:textId="77777777" w:rsidTr="001332DE">
        <w:tc>
          <w:tcPr>
            <w:tcW w:w="1028" w:type="pct"/>
            <w:vMerge w:val="restart"/>
            <w:vAlign w:val="center"/>
          </w:tcPr>
          <w:p w14:paraId="2304CC41" w14:textId="77777777" w:rsidR="00613CA9" w:rsidRPr="001253EE" w:rsidRDefault="00613CA9" w:rsidP="001332DE">
            <w:pPr>
              <w:spacing w:after="0" w:line="360" w:lineRule="auto"/>
              <w:jc w:val="center"/>
              <w:rPr>
                <w:rFonts w:cs="Times New Roman"/>
                <w:sz w:val="22"/>
              </w:rPr>
            </w:pPr>
            <w:r w:rsidRPr="00ED41AC">
              <w:rPr>
                <w:rFonts w:cs="Times New Roman"/>
                <w:sz w:val="22"/>
              </w:rPr>
              <w:t>Model</w:t>
            </w:r>
          </w:p>
        </w:tc>
        <w:tc>
          <w:tcPr>
            <w:tcW w:w="1546" w:type="pct"/>
            <w:gridSpan w:val="2"/>
            <w:vAlign w:val="center"/>
          </w:tcPr>
          <w:p w14:paraId="0A1C957C" w14:textId="77777777" w:rsidR="00613CA9" w:rsidRPr="001253EE" w:rsidRDefault="00613CA9" w:rsidP="001332DE">
            <w:pPr>
              <w:spacing w:after="0" w:line="360" w:lineRule="auto"/>
              <w:jc w:val="center"/>
              <w:rPr>
                <w:rFonts w:cs="Times New Roman"/>
                <w:sz w:val="22"/>
              </w:rPr>
            </w:pPr>
            <w:r w:rsidRPr="00ED41AC">
              <w:rPr>
                <w:rFonts w:cs="Times New Roman"/>
                <w:sz w:val="22"/>
              </w:rPr>
              <w:t>Unstandardized Coefficients</w:t>
            </w:r>
          </w:p>
        </w:tc>
        <w:tc>
          <w:tcPr>
            <w:tcW w:w="1484" w:type="pct"/>
            <w:vAlign w:val="center"/>
          </w:tcPr>
          <w:p w14:paraId="059F6E8C" w14:textId="77777777" w:rsidR="00613CA9" w:rsidRPr="001253EE" w:rsidRDefault="00613CA9" w:rsidP="001332DE">
            <w:pPr>
              <w:spacing w:after="0" w:line="360" w:lineRule="auto"/>
              <w:jc w:val="center"/>
              <w:rPr>
                <w:rFonts w:cs="Times New Roman"/>
                <w:sz w:val="22"/>
              </w:rPr>
            </w:pPr>
            <w:r w:rsidRPr="00ED41AC">
              <w:rPr>
                <w:rFonts w:cs="Times New Roman"/>
                <w:sz w:val="22"/>
              </w:rPr>
              <w:t>Standardized Coefficients</w:t>
            </w:r>
          </w:p>
        </w:tc>
        <w:tc>
          <w:tcPr>
            <w:tcW w:w="497" w:type="pct"/>
            <w:vMerge w:val="restart"/>
            <w:vAlign w:val="center"/>
          </w:tcPr>
          <w:p w14:paraId="5060A2B0" w14:textId="77777777" w:rsidR="00613CA9" w:rsidRPr="001253EE" w:rsidRDefault="00613CA9" w:rsidP="001332DE">
            <w:pPr>
              <w:spacing w:after="0" w:line="360" w:lineRule="auto"/>
              <w:jc w:val="center"/>
              <w:rPr>
                <w:rFonts w:cs="Times New Roman"/>
                <w:sz w:val="22"/>
              </w:rPr>
            </w:pPr>
            <w:r w:rsidRPr="00ED41AC">
              <w:rPr>
                <w:rFonts w:cs="Times New Roman"/>
                <w:sz w:val="22"/>
              </w:rPr>
              <w:t>t</w:t>
            </w:r>
          </w:p>
        </w:tc>
        <w:tc>
          <w:tcPr>
            <w:tcW w:w="445" w:type="pct"/>
            <w:vMerge w:val="restart"/>
            <w:vAlign w:val="center"/>
          </w:tcPr>
          <w:p w14:paraId="264E0BC3" w14:textId="77777777" w:rsidR="00613CA9" w:rsidRPr="001253EE" w:rsidRDefault="00613CA9" w:rsidP="001332DE">
            <w:pPr>
              <w:spacing w:after="0" w:line="360" w:lineRule="auto"/>
              <w:jc w:val="center"/>
              <w:rPr>
                <w:rFonts w:cs="Times New Roman"/>
                <w:sz w:val="22"/>
              </w:rPr>
            </w:pPr>
            <w:r w:rsidRPr="00ED41AC">
              <w:rPr>
                <w:rFonts w:cs="Times New Roman"/>
                <w:sz w:val="22"/>
              </w:rPr>
              <w:t>Sig.</w:t>
            </w:r>
          </w:p>
        </w:tc>
      </w:tr>
      <w:tr w:rsidR="00613CA9" w:rsidRPr="001253EE" w14:paraId="30301036" w14:textId="77777777" w:rsidTr="001332DE">
        <w:tc>
          <w:tcPr>
            <w:tcW w:w="1028" w:type="pct"/>
            <w:vMerge/>
            <w:hideMark/>
          </w:tcPr>
          <w:p w14:paraId="1AC6BCD2" w14:textId="77777777" w:rsidR="00613CA9" w:rsidRPr="00ED41AC" w:rsidRDefault="00613CA9" w:rsidP="001332DE">
            <w:pPr>
              <w:spacing w:after="0" w:line="360" w:lineRule="auto"/>
              <w:jc w:val="both"/>
              <w:rPr>
                <w:rFonts w:cs="Times New Roman"/>
                <w:sz w:val="22"/>
              </w:rPr>
            </w:pPr>
          </w:p>
        </w:tc>
        <w:tc>
          <w:tcPr>
            <w:tcW w:w="809" w:type="pct"/>
            <w:hideMark/>
          </w:tcPr>
          <w:p w14:paraId="554690CA" w14:textId="77777777" w:rsidR="00613CA9" w:rsidRPr="00ED41AC" w:rsidRDefault="00613CA9" w:rsidP="001332DE">
            <w:pPr>
              <w:spacing w:after="0" w:line="360" w:lineRule="auto"/>
              <w:jc w:val="center"/>
              <w:rPr>
                <w:rFonts w:cs="Times New Roman"/>
                <w:sz w:val="22"/>
              </w:rPr>
            </w:pPr>
            <w:r w:rsidRPr="00ED41AC">
              <w:rPr>
                <w:rFonts w:cs="Times New Roman"/>
                <w:sz w:val="22"/>
              </w:rPr>
              <w:t>B</w:t>
            </w:r>
          </w:p>
        </w:tc>
        <w:tc>
          <w:tcPr>
            <w:tcW w:w="737" w:type="pct"/>
            <w:hideMark/>
          </w:tcPr>
          <w:p w14:paraId="0F2D80AF" w14:textId="77777777" w:rsidR="00613CA9" w:rsidRPr="00ED41AC" w:rsidRDefault="00613CA9" w:rsidP="001332DE">
            <w:pPr>
              <w:spacing w:after="0" w:line="360" w:lineRule="auto"/>
              <w:jc w:val="center"/>
              <w:rPr>
                <w:rFonts w:cs="Times New Roman"/>
                <w:sz w:val="22"/>
              </w:rPr>
            </w:pPr>
            <w:r w:rsidRPr="00ED41AC">
              <w:rPr>
                <w:rFonts w:cs="Times New Roman"/>
                <w:sz w:val="22"/>
              </w:rPr>
              <w:t>Std. Error</w:t>
            </w:r>
          </w:p>
        </w:tc>
        <w:tc>
          <w:tcPr>
            <w:tcW w:w="1484" w:type="pct"/>
            <w:hideMark/>
          </w:tcPr>
          <w:p w14:paraId="5FAE713F" w14:textId="77777777" w:rsidR="00613CA9" w:rsidRPr="00ED41AC" w:rsidRDefault="00613CA9" w:rsidP="001332DE">
            <w:pPr>
              <w:spacing w:after="0" w:line="360" w:lineRule="auto"/>
              <w:jc w:val="center"/>
              <w:rPr>
                <w:rFonts w:cs="Times New Roman"/>
                <w:sz w:val="22"/>
              </w:rPr>
            </w:pPr>
            <w:r w:rsidRPr="00ED41AC">
              <w:rPr>
                <w:rFonts w:cs="Times New Roman"/>
                <w:sz w:val="22"/>
              </w:rPr>
              <w:t>Beta</w:t>
            </w:r>
          </w:p>
        </w:tc>
        <w:tc>
          <w:tcPr>
            <w:tcW w:w="497" w:type="pct"/>
            <w:vMerge/>
            <w:hideMark/>
          </w:tcPr>
          <w:p w14:paraId="423B5627" w14:textId="77777777" w:rsidR="00613CA9" w:rsidRPr="00ED41AC" w:rsidRDefault="00613CA9" w:rsidP="001332DE">
            <w:pPr>
              <w:spacing w:after="0" w:line="360" w:lineRule="auto"/>
              <w:jc w:val="center"/>
              <w:rPr>
                <w:rFonts w:cs="Times New Roman"/>
                <w:sz w:val="22"/>
              </w:rPr>
            </w:pPr>
          </w:p>
        </w:tc>
        <w:tc>
          <w:tcPr>
            <w:tcW w:w="445" w:type="pct"/>
            <w:vMerge/>
            <w:hideMark/>
          </w:tcPr>
          <w:p w14:paraId="7964EEF4" w14:textId="77777777" w:rsidR="00613CA9" w:rsidRPr="00ED41AC" w:rsidRDefault="00613CA9" w:rsidP="001332DE">
            <w:pPr>
              <w:spacing w:after="0" w:line="360" w:lineRule="auto"/>
              <w:jc w:val="center"/>
              <w:rPr>
                <w:rFonts w:cs="Times New Roman"/>
                <w:sz w:val="22"/>
              </w:rPr>
            </w:pPr>
          </w:p>
        </w:tc>
      </w:tr>
      <w:tr w:rsidR="00613CA9" w:rsidRPr="001253EE" w14:paraId="4AA4D483" w14:textId="77777777" w:rsidTr="001332DE">
        <w:tc>
          <w:tcPr>
            <w:tcW w:w="1028" w:type="pct"/>
            <w:hideMark/>
          </w:tcPr>
          <w:p w14:paraId="3EEAADFA" w14:textId="77777777" w:rsidR="00613CA9" w:rsidRPr="00ED41AC" w:rsidRDefault="00613CA9" w:rsidP="001332DE">
            <w:pPr>
              <w:spacing w:after="0" w:line="360" w:lineRule="auto"/>
              <w:jc w:val="both"/>
              <w:rPr>
                <w:rFonts w:cs="Times New Roman"/>
                <w:sz w:val="22"/>
              </w:rPr>
            </w:pPr>
            <w:r w:rsidRPr="00ED41AC">
              <w:rPr>
                <w:rFonts w:cs="Times New Roman"/>
                <w:sz w:val="22"/>
              </w:rPr>
              <w:t>(Constant)</w:t>
            </w:r>
          </w:p>
        </w:tc>
        <w:tc>
          <w:tcPr>
            <w:tcW w:w="809" w:type="pct"/>
            <w:hideMark/>
          </w:tcPr>
          <w:p w14:paraId="4C2118CD" w14:textId="77777777" w:rsidR="00613CA9" w:rsidRPr="00ED41AC" w:rsidRDefault="00613CA9" w:rsidP="001332DE">
            <w:pPr>
              <w:spacing w:after="0" w:line="360" w:lineRule="auto"/>
              <w:jc w:val="center"/>
              <w:rPr>
                <w:rFonts w:cs="Times New Roman"/>
                <w:sz w:val="22"/>
              </w:rPr>
            </w:pPr>
            <w:r w:rsidRPr="00ED41AC">
              <w:rPr>
                <w:rFonts w:cs="Times New Roman"/>
                <w:sz w:val="22"/>
              </w:rPr>
              <w:t>.412</w:t>
            </w:r>
          </w:p>
        </w:tc>
        <w:tc>
          <w:tcPr>
            <w:tcW w:w="737" w:type="pct"/>
            <w:hideMark/>
          </w:tcPr>
          <w:p w14:paraId="2CC1472B" w14:textId="77777777" w:rsidR="00613CA9" w:rsidRPr="00ED41AC" w:rsidRDefault="00613CA9" w:rsidP="001332DE">
            <w:pPr>
              <w:spacing w:after="0" w:line="360" w:lineRule="auto"/>
              <w:jc w:val="center"/>
              <w:rPr>
                <w:rFonts w:cs="Times New Roman"/>
                <w:sz w:val="22"/>
              </w:rPr>
            </w:pPr>
            <w:r w:rsidRPr="00ED41AC">
              <w:rPr>
                <w:rFonts w:cs="Times New Roman"/>
                <w:sz w:val="22"/>
              </w:rPr>
              <w:t>.198</w:t>
            </w:r>
          </w:p>
        </w:tc>
        <w:tc>
          <w:tcPr>
            <w:tcW w:w="1484" w:type="pct"/>
            <w:hideMark/>
          </w:tcPr>
          <w:p w14:paraId="0DD3F62B" w14:textId="77777777" w:rsidR="00613CA9" w:rsidRPr="00ED41AC" w:rsidRDefault="00613CA9" w:rsidP="001332DE">
            <w:pPr>
              <w:spacing w:after="0" w:line="360" w:lineRule="auto"/>
              <w:jc w:val="center"/>
              <w:rPr>
                <w:rFonts w:cs="Times New Roman"/>
                <w:sz w:val="22"/>
              </w:rPr>
            </w:pPr>
          </w:p>
        </w:tc>
        <w:tc>
          <w:tcPr>
            <w:tcW w:w="497" w:type="pct"/>
            <w:hideMark/>
          </w:tcPr>
          <w:p w14:paraId="17979648" w14:textId="77777777" w:rsidR="00613CA9" w:rsidRPr="00ED41AC" w:rsidRDefault="00613CA9" w:rsidP="001332DE">
            <w:pPr>
              <w:spacing w:after="0" w:line="360" w:lineRule="auto"/>
              <w:jc w:val="center"/>
              <w:rPr>
                <w:rFonts w:cs="Times New Roman"/>
                <w:sz w:val="22"/>
              </w:rPr>
            </w:pPr>
            <w:r w:rsidRPr="00ED41AC">
              <w:rPr>
                <w:rFonts w:cs="Times New Roman"/>
                <w:sz w:val="22"/>
              </w:rPr>
              <w:t>2.081</w:t>
            </w:r>
          </w:p>
        </w:tc>
        <w:tc>
          <w:tcPr>
            <w:tcW w:w="445" w:type="pct"/>
            <w:hideMark/>
          </w:tcPr>
          <w:p w14:paraId="2D6D06A6" w14:textId="77777777" w:rsidR="00613CA9" w:rsidRPr="00ED41AC" w:rsidRDefault="00613CA9" w:rsidP="001332DE">
            <w:pPr>
              <w:spacing w:after="0" w:line="360" w:lineRule="auto"/>
              <w:jc w:val="center"/>
              <w:rPr>
                <w:rFonts w:cs="Times New Roman"/>
                <w:sz w:val="22"/>
              </w:rPr>
            </w:pPr>
            <w:r w:rsidRPr="00ED41AC">
              <w:rPr>
                <w:rFonts w:cs="Times New Roman"/>
                <w:sz w:val="22"/>
              </w:rPr>
              <w:t>.038</w:t>
            </w:r>
          </w:p>
        </w:tc>
      </w:tr>
      <w:tr w:rsidR="00613CA9" w:rsidRPr="001253EE" w14:paraId="0A8FA997" w14:textId="77777777" w:rsidTr="001332DE">
        <w:tc>
          <w:tcPr>
            <w:tcW w:w="1028" w:type="pct"/>
            <w:hideMark/>
          </w:tcPr>
          <w:p w14:paraId="307986FF" w14:textId="77777777" w:rsidR="00613CA9" w:rsidRPr="00ED41AC" w:rsidRDefault="00613CA9" w:rsidP="001332DE">
            <w:pPr>
              <w:spacing w:after="0" w:line="360" w:lineRule="auto"/>
              <w:jc w:val="both"/>
              <w:rPr>
                <w:rFonts w:cs="Times New Roman"/>
                <w:sz w:val="22"/>
              </w:rPr>
            </w:pPr>
            <w:r w:rsidRPr="00ED41AC">
              <w:rPr>
                <w:rFonts w:cs="Times New Roman"/>
                <w:sz w:val="22"/>
              </w:rPr>
              <w:t>Transparency</w:t>
            </w:r>
          </w:p>
        </w:tc>
        <w:tc>
          <w:tcPr>
            <w:tcW w:w="809" w:type="pct"/>
            <w:hideMark/>
          </w:tcPr>
          <w:p w14:paraId="413CC392" w14:textId="77777777" w:rsidR="00613CA9" w:rsidRPr="00ED41AC" w:rsidRDefault="00613CA9" w:rsidP="001332DE">
            <w:pPr>
              <w:spacing w:after="0" w:line="360" w:lineRule="auto"/>
              <w:jc w:val="center"/>
              <w:rPr>
                <w:rFonts w:cs="Times New Roman"/>
                <w:sz w:val="22"/>
              </w:rPr>
            </w:pPr>
            <w:r w:rsidRPr="00ED41AC">
              <w:rPr>
                <w:rFonts w:cs="Times New Roman"/>
                <w:sz w:val="22"/>
              </w:rPr>
              <w:t>.156</w:t>
            </w:r>
          </w:p>
        </w:tc>
        <w:tc>
          <w:tcPr>
            <w:tcW w:w="737" w:type="pct"/>
            <w:hideMark/>
          </w:tcPr>
          <w:p w14:paraId="53279732" w14:textId="77777777" w:rsidR="00613CA9" w:rsidRPr="00ED41AC" w:rsidRDefault="00613CA9" w:rsidP="001332DE">
            <w:pPr>
              <w:spacing w:after="0" w:line="360" w:lineRule="auto"/>
              <w:jc w:val="center"/>
              <w:rPr>
                <w:rFonts w:cs="Times New Roman"/>
                <w:sz w:val="22"/>
              </w:rPr>
            </w:pPr>
            <w:r w:rsidRPr="00ED41AC">
              <w:rPr>
                <w:rFonts w:cs="Times New Roman"/>
                <w:sz w:val="22"/>
              </w:rPr>
              <w:t>.048</w:t>
            </w:r>
          </w:p>
        </w:tc>
        <w:tc>
          <w:tcPr>
            <w:tcW w:w="1484" w:type="pct"/>
            <w:hideMark/>
          </w:tcPr>
          <w:p w14:paraId="30E04D3B" w14:textId="77777777" w:rsidR="00613CA9" w:rsidRPr="00ED41AC" w:rsidRDefault="00613CA9" w:rsidP="001332DE">
            <w:pPr>
              <w:spacing w:after="0" w:line="360" w:lineRule="auto"/>
              <w:jc w:val="center"/>
              <w:rPr>
                <w:rFonts w:cs="Times New Roman"/>
                <w:sz w:val="22"/>
              </w:rPr>
            </w:pPr>
            <w:r w:rsidRPr="00ED41AC">
              <w:rPr>
                <w:rFonts w:cs="Times New Roman"/>
                <w:sz w:val="22"/>
              </w:rPr>
              <w:t>.198</w:t>
            </w:r>
          </w:p>
        </w:tc>
        <w:tc>
          <w:tcPr>
            <w:tcW w:w="497" w:type="pct"/>
            <w:hideMark/>
          </w:tcPr>
          <w:p w14:paraId="27FF91C6" w14:textId="77777777" w:rsidR="00613CA9" w:rsidRPr="00ED41AC" w:rsidRDefault="00613CA9" w:rsidP="001332DE">
            <w:pPr>
              <w:spacing w:after="0" w:line="360" w:lineRule="auto"/>
              <w:jc w:val="center"/>
              <w:rPr>
                <w:rFonts w:cs="Times New Roman"/>
                <w:sz w:val="22"/>
              </w:rPr>
            </w:pPr>
            <w:r w:rsidRPr="00ED41AC">
              <w:rPr>
                <w:rFonts w:cs="Times New Roman"/>
                <w:sz w:val="22"/>
              </w:rPr>
              <w:t>3.250</w:t>
            </w:r>
          </w:p>
        </w:tc>
        <w:tc>
          <w:tcPr>
            <w:tcW w:w="445" w:type="pct"/>
            <w:hideMark/>
          </w:tcPr>
          <w:p w14:paraId="12881B65" w14:textId="77777777" w:rsidR="00613CA9" w:rsidRPr="00ED41AC" w:rsidRDefault="00613CA9" w:rsidP="001332DE">
            <w:pPr>
              <w:spacing w:after="0" w:line="360" w:lineRule="auto"/>
              <w:jc w:val="center"/>
              <w:rPr>
                <w:rFonts w:cs="Times New Roman"/>
                <w:sz w:val="22"/>
              </w:rPr>
            </w:pPr>
            <w:r w:rsidRPr="00ED41AC">
              <w:rPr>
                <w:rFonts w:cs="Times New Roman"/>
                <w:sz w:val="22"/>
              </w:rPr>
              <w:t>.001</w:t>
            </w:r>
          </w:p>
        </w:tc>
      </w:tr>
      <w:tr w:rsidR="00613CA9" w:rsidRPr="001253EE" w14:paraId="50CDD965" w14:textId="77777777" w:rsidTr="001332DE">
        <w:tc>
          <w:tcPr>
            <w:tcW w:w="1028" w:type="pct"/>
            <w:hideMark/>
          </w:tcPr>
          <w:p w14:paraId="4469CCAA" w14:textId="77777777" w:rsidR="00613CA9" w:rsidRPr="00ED41AC" w:rsidRDefault="00613CA9" w:rsidP="001332DE">
            <w:pPr>
              <w:spacing w:after="0" w:line="360" w:lineRule="auto"/>
              <w:jc w:val="both"/>
              <w:rPr>
                <w:rFonts w:cs="Times New Roman"/>
                <w:sz w:val="22"/>
              </w:rPr>
            </w:pPr>
            <w:r w:rsidRPr="00ED41AC">
              <w:rPr>
                <w:rFonts w:cs="Times New Roman"/>
                <w:sz w:val="22"/>
              </w:rPr>
              <w:t>Efficiency</w:t>
            </w:r>
          </w:p>
        </w:tc>
        <w:tc>
          <w:tcPr>
            <w:tcW w:w="809" w:type="pct"/>
            <w:hideMark/>
          </w:tcPr>
          <w:p w14:paraId="29DD6230" w14:textId="77777777" w:rsidR="00613CA9" w:rsidRPr="00ED41AC" w:rsidRDefault="00613CA9" w:rsidP="001332DE">
            <w:pPr>
              <w:spacing w:after="0" w:line="360" w:lineRule="auto"/>
              <w:jc w:val="center"/>
              <w:rPr>
                <w:rFonts w:cs="Times New Roman"/>
                <w:sz w:val="22"/>
              </w:rPr>
            </w:pPr>
            <w:r w:rsidRPr="00ED41AC">
              <w:rPr>
                <w:rFonts w:cs="Times New Roman"/>
                <w:sz w:val="22"/>
              </w:rPr>
              <w:t>.234</w:t>
            </w:r>
          </w:p>
        </w:tc>
        <w:tc>
          <w:tcPr>
            <w:tcW w:w="737" w:type="pct"/>
            <w:hideMark/>
          </w:tcPr>
          <w:p w14:paraId="2D0C8968" w14:textId="77777777" w:rsidR="00613CA9" w:rsidRPr="00ED41AC" w:rsidRDefault="00613CA9" w:rsidP="001332DE">
            <w:pPr>
              <w:spacing w:after="0" w:line="360" w:lineRule="auto"/>
              <w:jc w:val="center"/>
              <w:rPr>
                <w:rFonts w:cs="Times New Roman"/>
                <w:sz w:val="22"/>
              </w:rPr>
            </w:pPr>
            <w:r w:rsidRPr="00ED41AC">
              <w:rPr>
                <w:rFonts w:cs="Times New Roman"/>
                <w:sz w:val="22"/>
              </w:rPr>
              <w:t>.052</w:t>
            </w:r>
          </w:p>
        </w:tc>
        <w:tc>
          <w:tcPr>
            <w:tcW w:w="1484" w:type="pct"/>
            <w:hideMark/>
          </w:tcPr>
          <w:p w14:paraId="55001693" w14:textId="77777777" w:rsidR="00613CA9" w:rsidRPr="00ED41AC" w:rsidRDefault="00613CA9" w:rsidP="001332DE">
            <w:pPr>
              <w:spacing w:after="0" w:line="360" w:lineRule="auto"/>
              <w:jc w:val="center"/>
              <w:rPr>
                <w:rFonts w:cs="Times New Roman"/>
                <w:sz w:val="22"/>
              </w:rPr>
            </w:pPr>
            <w:r w:rsidRPr="00ED41AC">
              <w:rPr>
                <w:rFonts w:cs="Times New Roman"/>
                <w:sz w:val="22"/>
              </w:rPr>
              <w:t>.271</w:t>
            </w:r>
          </w:p>
        </w:tc>
        <w:tc>
          <w:tcPr>
            <w:tcW w:w="497" w:type="pct"/>
            <w:hideMark/>
          </w:tcPr>
          <w:p w14:paraId="7F6EDD4A" w14:textId="77777777" w:rsidR="00613CA9" w:rsidRPr="00ED41AC" w:rsidRDefault="00613CA9" w:rsidP="001332DE">
            <w:pPr>
              <w:spacing w:after="0" w:line="360" w:lineRule="auto"/>
              <w:jc w:val="center"/>
              <w:rPr>
                <w:rFonts w:cs="Times New Roman"/>
                <w:sz w:val="22"/>
              </w:rPr>
            </w:pPr>
            <w:r w:rsidRPr="00ED41AC">
              <w:rPr>
                <w:rFonts w:cs="Times New Roman"/>
                <w:sz w:val="22"/>
              </w:rPr>
              <w:t>4.500</w:t>
            </w:r>
          </w:p>
        </w:tc>
        <w:tc>
          <w:tcPr>
            <w:tcW w:w="445" w:type="pct"/>
            <w:hideMark/>
          </w:tcPr>
          <w:p w14:paraId="5B2C628E" w14:textId="77777777" w:rsidR="00613CA9" w:rsidRPr="00ED41AC" w:rsidRDefault="00613CA9" w:rsidP="001332DE">
            <w:pPr>
              <w:spacing w:after="0" w:line="360" w:lineRule="auto"/>
              <w:jc w:val="center"/>
              <w:rPr>
                <w:rFonts w:cs="Times New Roman"/>
                <w:sz w:val="22"/>
              </w:rPr>
            </w:pPr>
            <w:r w:rsidRPr="00ED41AC">
              <w:rPr>
                <w:rFonts w:cs="Times New Roman"/>
                <w:sz w:val="22"/>
              </w:rPr>
              <w:t>.000</w:t>
            </w:r>
          </w:p>
        </w:tc>
      </w:tr>
      <w:tr w:rsidR="00613CA9" w:rsidRPr="001253EE" w14:paraId="6BA561A9" w14:textId="77777777" w:rsidTr="001332DE">
        <w:tc>
          <w:tcPr>
            <w:tcW w:w="1028" w:type="pct"/>
            <w:hideMark/>
          </w:tcPr>
          <w:p w14:paraId="0419E28B" w14:textId="77777777" w:rsidR="00613CA9" w:rsidRPr="00ED41AC" w:rsidRDefault="00613CA9" w:rsidP="001332DE">
            <w:pPr>
              <w:spacing w:after="0" w:line="360" w:lineRule="auto"/>
              <w:jc w:val="both"/>
              <w:rPr>
                <w:rFonts w:cs="Times New Roman"/>
                <w:sz w:val="22"/>
              </w:rPr>
            </w:pPr>
            <w:r w:rsidRPr="00ED41AC">
              <w:rPr>
                <w:rFonts w:cs="Times New Roman"/>
                <w:sz w:val="22"/>
              </w:rPr>
              <w:t>Compliance</w:t>
            </w:r>
          </w:p>
        </w:tc>
        <w:tc>
          <w:tcPr>
            <w:tcW w:w="809" w:type="pct"/>
            <w:hideMark/>
          </w:tcPr>
          <w:p w14:paraId="7014A2B8" w14:textId="77777777" w:rsidR="00613CA9" w:rsidRPr="00ED41AC" w:rsidRDefault="00613CA9" w:rsidP="001332DE">
            <w:pPr>
              <w:spacing w:after="0" w:line="360" w:lineRule="auto"/>
              <w:jc w:val="center"/>
              <w:rPr>
                <w:rFonts w:cs="Times New Roman"/>
                <w:sz w:val="22"/>
              </w:rPr>
            </w:pPr>
            <w:r w:rsidRPr="00ED41AC">
              <w:rPr>
                <w:rFonts w:cs="Times New Roman"/>
                <w:sz w:val="22"/>
              </w:rPr>
              <w:t>.142</w:t>
            </w:r>
          </w:p>
        </w:tc>
        <w:tc>
          <w:tcPr>
            <w:tcW w:w="737" w:type="pct"/>
            <w:hideMark/>
          </w:tcPr>
          <w:p w14:paraId="62B35DD5" w14:textId="77777777" w:rsidR="00613CA9" w:rsidRPr="00ED41AC" w:rsidRDefault="00613CA9" w:rsidP="001332DE">
            <w:pPr>
              <w:spacing w:after="0" w:line="360" w:lineRule="auto"/>
              <w:jc w:val="center"/>
              <w:rPr>
                <w:rFonts w:cs="Times New Roman"/>
                <w:sz w:val="22"/>
              </w:rPr>
            </w:pPr>
            <w:r w:rsidRPr="00ED41AC">
              <w:rPr>
                <w:rFonts w:cs="Times New Roman"/>
                <w:sz w:val="22"/>
              </w:rPr>
              <w:t>.046</w:t>
            </w:r>
          </w:p>
        </w:tc>
        <w:tc>
          <w:tcPr>
            <w:tcW w:w="1484" w:type="pct"/>
            <w:hideMark/>
          </w:tcPr>
          <w:p w14:paraId="1623B14A" w14:textId="77777777" w:rsidR="00613CA9" w:rsidRPr="00ED41AC" w:rsidRDefault="00613CA9" w:rsidP="001332DE">
            <w:pPr>
              <w:spacing w:after="0" w:line="360" w:lineRule="auto"/>
              <w:jc w:val="center"/>
              <w:rPr>
                <w:rFonts w:cs="Times New Roman"/>
                <w:sz w:val="22"/>
              </w:rPr>
            </w:pPr>
            <w:r w:rsidRPr="00ED41AC">
              <w:rPr>
                <w:rFonts w:cs="Times New Roman"/>
                <w:sz w:val="22"/>
              </w:rPr>
              <w:t>.176</w:t>
            </w:r>
          </w:p>
        </w:tc>
        <w:tc>
          <w:tcPr>
            <w:tcW w:w="497" w:type="pct"/>
            <w:hideMark/>
          </w:tcPr>
          <w:p w14:paraId="72550F7D" w14:textId="77777777" w:rsidR="00613CA9" w:rsidRPr="00ED41AC" w:rsidRDefault="00613CA9" w:rsidP="001332DE">
            <w:pPr>
              <w:spacing w:after="0" w:line="360" w:lineRule="auto"/>
              <w:jc w:val="center"/>
              <w:rPr>
                <w:rFonts w:cs="Times New Roman"/>
                <w:sz w:val="22"/>
              </w:rPr>
            </w:pPr>
            <w:r w:rsidRPr="00ED41AC">
              <w:rPr>
                <w:rFonts w:cs="Times New Roman"/>
                <w:sz w:val="22"/>
              </w:rPr>
              <w:t>3.087</w:t>
            </w:r>
          </w:p>
        </w:tc>
        <w:tc>
          <w:tcPr>
            <w:tcW w:w="445" w:type="pct"/>
            <w:hideMark/>
          </w:tcPr>
          <w:p w14:paraId="444023AC" w14:textId="77777777" w:rsidR="00613CA9" w:rsidRPr="00ED41AC" w:rsidRDefault="00613CA9" w:rsidP="001332DE">
            <w:pPr>
              <w:spacing w:after="0" w:line="360" w:lineRule="auto"/>
              <w:jc w:val="center"/>
              <w:rPr>
                <w:rFonts w:cs="Times New Roman"/>
                <w:sz w:val="22"/>
              </w:rPr>
            </w:pPr>
            <w:r w:rsidRPr="00ED41AC">
              <w:rPr>
                <w:rFonts w:cs="Times New Roman"/>
                <w:sz w:val="22"/>
              </w:rPr>
              <w:t>.002</w:t>
            </w:r>
          </w:p>
        </w:tc>
      </w:tr>
      <w:tr w:rsidR="00613CA9" w:rsidRPr="001253EE" w14:paraId="1F662B9B" w14:textId="77777777" w:rsidTr="001332DE">
        <w:tc>
          <w:tcPr>
            <w:tcW w:w="1028" w:type="pct"/>
            <w:hideMark/>
          </w:tcPr>
          <w:p w14:paraId="42A08AFA" w14:textId="77777777" w:rsidR="00613CA9" w:rsidRPr="00ED41AC" w:rsidRDefault="00613CA9" w:rsidP="001332DE">
            <w:pPr>
              <w:spacing w:after="0" w:line="360" w:lineRule="auto"/>
              <w:jc w:val="both"/>
              <w:rPr>
                <w:rFonts w:cs="Times New Roman"/>
                <w:sz w:val="22"/>
              </w:rPr>
            </w:pPr>
            <w:r w:rsidRPr="00ED41AC">
              <w:rPr>
                <w:rFonts w:cs="Times New Roman"/>
                <w:sz w:val="22"/>
              </w:rPr>
              <w:lastRenderedPageBreak/>
              <w:t>Integration</w:t>
            </w:r>
          </w:p>
        </w:tc>
        <w:tc>
          <w:tcPr>
            <w:tcW w:w="809" w:type="pct"/>
            <w:hideMark/>
          </w:tcPr>
          <w:p w14:paraId="240078F5" w14:textId="77777777" w:rsidR="00613CA9" w:rsidRPr="00ED41AC" w:rsidRDefault="00613CA9" w:rsidP="001332DE">
            <w:pPr>
              <w:spacing w:after="0" w:line="360" w:lineRule="auto"/>
              <w:jc w:val="center"/>
              <w:rPr>
                <w:rFonts w:cs="Times New Roman"/>
                <w:sz w:val="22"/>
              </w:rPr>
            </w:pPr>
            <w:r w:rsidRPr="00ED41AC">
              <w:rPr>
                <w:rFonts w:cs="Times New Roman"/>
                <w:sz w:val="22"/>
              </w:rPr>
              <w:t>.118</w:t>
            </w:r>
          </w:p>
        </w:tc>
        <w:tc>
          <w:tcPr>
            <w:tcW w:w="737" w:type="pct"/>
            <w:hideMark/>
          </w:tcPr>
          <w:p w14:paraId="412D0434" w14:textId="77777777" w:rsidR="00613CA9" w:rsidRPr="00ED41AC" w:rsidRDefault="00613CA9" w:rsidP="001332DE">
            <w:pPr>
              <w:spacing w:after="0" w:line="360" w:lineRule="auto"/>
              <w:jc w:val="center"/>
              <w:rPr>
                <w:rFonts w:cs="Times New Roman"/>
                <w:sz w:val="22"/>
              </w:rPr>
            </w:pPr>
            <w:r w:rsidRPr="00ED41AC">
              <w:rPr>
                <w:rFonts w:cs="Times New Roman"/>
                <w:sz w:val="22"/>
              </w:rPr>
              <w:t>.044</w:t>
            </w:r>
          </w:p>
        </w:tc>
        <w:tc>
          <w:tcPr>
            <w:tcW w:w="1484" w:type="pct"/>
            <w:hideMark/>
          </w:tcPr>
          <w:p w14:paraId="77071761" w14:textId="77777777" w:rsidR="00613CA9" w:rsidRPr="00ED41AC" w:rsidRDefault="00613CA9" w:rsidP="001332DE">
            <w:pPr>
              <w:spacing w:after="0" w:line="360" w:lineRule="auto"/>
              <w:jc w:val="center"/>
              <w:rPr>
                <w:rFonts w:cs="Times New Roman"/>
                <w:sz w:val="22"/>
              </w:rPr>
            </w:pPr>
            <w:r w:rsidRPr="00ED41AC">
              <w:rPr>
                <w:rFonts w:cs="Times New Roman"/>
                <w:sz w:val="22"/>
              </w:rPr>
              <w:t>.148</w:t>
            </w:r>
          </w:p>
        </w:tc>
        <w:tc>
          <w:tcPr>
            <w:tcW w:w="497" w:type="pct"/>
            <w:hideMark/>
          </w:tcPr>
          <w:p w14:paraId="6618D1EE" w14:textId="77777777" w:rsidR="00613CA9" w:rsidRPr="00ED41AC" w:rsidRDefault="00613CA9" w:rsidP="001332DE">
            <w:pPr>
              <w:spacing w:after="0" w:line="360" w:lineRule="auto"/>
              <w:jc w:val="center"/>
              <w:rPr>
                <w:rFonts w:cs="Times New Roman"/>
                <w:sz w:val="22"/>
              </w:rPr>
            </w:pPr>
            <w:r w:rsidRPr="00ED41AC">
              <w:rPr>
                <w:rFonts w:cs="Times New Roman"/>
                <w:sz w:val="22"/>
              </w:rPr>
              <w:t>2.682</w:t>
            </w:r>
          </w:p>
        </w:tc>
        <w:tc>
          <w:tcPr>
            <w:tcW w:w="445" w:type="pct"/>
            <w:hideMark/>
          </w:tcPr>
          <w:p w14:paraId="613A94AA" w14:textId="77777777" w:rsidR="00613CA9" w:rsidRPr="00ED41AC" w:rsidRDefault="00613CA9" w:rsidP="001332DE">
            <w:pPr>
              <w:spacing w:after="0" w:line="360" w:lineRule="auto"/>
              <w:jc w:val="center"/>
              <w:rPr>
                <w:rFonts w:cs="Times New Roman"/>
                <w:sz w:val="22"/>
              </w:rPr>
            </w:pPr>
            <w:r w:rsidRPr="00ED41AC">
              <w:rPr>
                <w:rFonts w:cs="Times New Roman"/>
                <w:sz w:val="22"/>
              </w:rPr>
              <w:t>.008</w:t>
            </w:r>
          </w:p>
        </w:tc>
      </w:tr>
      <w:tr w:rsidR="00613CA9" w:rsidRPr="001253EE" w14:paraId="08BDFEA2" w14:textId="77777777" w:rsidTr="001332DE">
        <w:tc>
          <w:tcPr>
            <w:tcW w:w="1028" w:type="pct"/>
            <w:hideMark/>
          </w:tcPr>
          <w:p w14:paraId="2DA397BA" w14:textId="77777777" w:rsidR="00613CA9" w:rsidRPr="00ED41AC" w:rsidRDefault="00613CA9" w:rsidP="001332DE">
            <w:pPr>
              <w:spacing w:after="0" w:line="360" w:lineRule="auto"/>
              <w:jc w:val="both"/>
              <w:rPr>
                <w:rFonts w:cs="Times New Roman"/>
                <w:sz w:val="22"/>
              </w:rPr>
            </w:pPr>
            <w:r w:rsidRPr="00ED41AC">
              <w:rPr>
                <w:rFonts w:cs="Times New Roman"/>
                <w:sz w:val="22"/>
              </w:rPr>
              <w:t>Usability</w:t>
            </w:r>
          </w:p>
        </w:tc>
        <w:tc>
          <w:tcPr>
            <w:tcW w:w="809" w:type="pct"/>
            <w:hideMark/>
          </w:tcPr>
          <w:p w14:paraId="780079CF" w14:textId="77777777" w:rsidR="00613CA9" w:rsidRPr="00ED41AC" w:rsidRDefault="00613CA9" w:rsidP="001332DE">
            <w:pPr>
              <w:spacing w:after="0" w:line="360" w:lineRule="auto"/>
              <w:jc w:val="center"/>
              <w:rPr>
                <w:rFonts w:cs="Times New Roman"/>
                <w:sz w:val="22"/>
              </w:rPr>
            </w:pPr>
            <w:r w:rsidRPr="00ED41AC">
              <w:rPr>
                <w:rFonts w:cs="Times New Roman"/>
                <w:sz w:val="22"/>
              </w:rPr>
              <w:t>.098</w:t>
            </w:r>
          </w:p>
        </w:tc>
        <w:tc>
          <w:tcPr>
            <w:tcW w:w="737" w:type="pct"/>
            <w:hideMark/>
          </w:tcPr>
          <w:p w14:paraId="454DDFBA" w14:textId="77777777" w:rsidR="00613CA9" w:rsidRPr="00ED41AC" w:rsidRDefault="00613CA9" w:rsidP="001332DE">
            <w:pPr>
              <w:spacing w:after="0" w:line="360" w:lineRule="auto"/>
              <w:jc w:val="center"/>
              <w:rPr>
                <w:rFonts w:cs="Times New Roman"/>
                <w:sz w:val="22"/>
              </w:rPr>
            </w:pPr>
            <w:r w:rsidRPr="00ED41AC">
              <w:rPr>
                <w:rFonts w:cs="Times New Roman"/>
                <w:sz w:val="22"/>
              </w:rPr>
              <w:t>.047</w:t>
            </w:r>
          </w:p>
        </w:tc>
        <w:tc>
          <w:tcPr>
            <w:tcW w:w="1484" w:type="pct"/>
            <w:hideMark/>
          </w:tcPr>
          <w:p w14:paraId="578CC134" w14:textId="77777777" w:rsidR="00613CA9" w:rsidRPr="00ED41AC" w:rsidRDefault="00613CA9" w:rsidP="001332DE">
            <w:pPr>
              <w:spacing w:after="0" w:line="360" w:lineRule="auto"/>
              <w:jc w:val="center"/>
              <w:rPr>
                <w:rFonts w:cs="Times New Roman"/>
                <w:sz w:val="22"/>
              </w:rPr>
            </w:pPr>
            <w:r w:rsidRPr="00ED41AC">
              <w:rPr>
                <w:rFonts w:cs="Times New Roman"/>
                <w:sz w:val="22"/>
              </w:rPr>
              <w:t>.123</w:t>
            </w:r>
          </w:p>
        </w:tc>
        <w:tc>
          <w:tcPr>
            <w:tcW w:w="497" w:type="pct"/>
            <w:hideMark/>
          </w:tcPr>
          <w:p w14:paraId="4DDCD18A" w14:textId="77777777" w:rsidR="00613CA9" w:rsidRPr="00ED41AC" w:rsidRDefault="00613CA9" w:rsidP="001332DE">
            <w:pPr>
              <w:spacing w:after="0" w:line="360" w:lineRule="auto"/>
              <w:jc w:val="center"/>
              <w:rPr>
                <w:rFonts w:cs="Times New Roman"/>
                <w:sz w:val="22"/>
              </w:rPr>
            </w:pPr>
            <w:r w:rsidRPr="00ED41AC">
              <w:rPr>
                <w:rFonts w:cs="Times New Roman"/>
                <w:sz w:val="22"/>
              </w:rPr>
              <w:t>2.085</w:t>
            </w:r>
          </w:p>
        </w:tc>
        <w:tc>
          <w:tcPr>
            <w:tcW w:w="445" w:type="pct"/>
            <w:hideMark/>
          </w:tcPr>
          <w:p w14:paraId="2B5F7952" w14:textId="77777777" w:rsidR="00613CA9" w:rsidRPr="00ED41AC" w:rsidRDefault="00613CA9" w:rsidP="001332DE">
            <w:pPr>
              <w:spacing w:after="0" w:line="360" w:lineRule="auto"/>
              <w:jc w:val="center"/>
              <w:rPr>
                <w:rFonts w:cs="Times New Roman"/>
                <w:sz w:val="22"/>
              </w:rPr>
            </w:pPr>
            <w:r w:rsidRPr="00ED41AC">
              <w:rPr>
                <w:rFonts w:cs="Times New Roman"/>
                <w:sz w:val="22"/>
              </w:rPr>
              <w:t>.038</w:t>
            </w:r>
          </w:p>
        </w:tc>
      </w:tr>
      <w:tr w:rsidR="00613CA9" w:rsidRPr="001253EE" w14:paraId="23A42C09" w14:textId="77777777" w:rsidTr="001332DE">
        <w:tc>
          <w:tcPr>
            <w:tcW w:w="1028" w:type="pct"/>
            <w:hideMark/>
          </w:tcPr>
          <w:p w14:paraId="7BDE3708" w14:textId="77777777" w:rsidR="00613CA9" w:rsidRPr="00ED41AC" w:rsidRDefault="00613CA9" w:rsidP="001332DE">
            <w:pPr>
              <w:spacing w:after="0" w:line="360" w:lineRule="auto"/>
              <w:jc w:val="both"/>
              <w:rPr>
                <w:rFonts w:cs="Times New Roman"/>
                <w:sz w:val="22"/>
              </w:rPr>
            </w:pPr>
            <w:r w:rsidRPr="00ED41AC">
              <w:rPr>
                <w:rFonts w:cs="Times New Roman"/>
                <w:sz w:val="22"/>
              </w:rPr>
              <w:t>Credibility</w:t>
            </w:r>
          </w:p>
        </w:tc>
        <w:tc>
          <w:tcPr>
            <w:tcW w:w="809" w:type="pct"/>
            <w:hideMark/>
          </w:tcPr>
          <w:p w14:paraId="16F2383A" w14:textId="77777777" w:rsidR="00613CA9" w:rsidRPr="00ED41AC" w:rsidRDefault="00613CA9" w:rsidP="001332DE">
            <w:pPr>
              <w:spacing w:after="0" w:line="360" w:lineRule="auto"/>
              <w:jc w:val="center"/>
              <w:rPr>
                <w:rFonts w:cs="Times New Roman"/>
                <w:sz w:val="22"/>
              </w:rPr>
            </w:pPr>
            <w:r w:rsidRPr="00ED41AC">
              <w:rPr>
                <w:rFonts w:cs="Times New Roman"/>
                <w:sz w:val="22"/>
              </w:rPr>
              <w:t>.178</w:t>
            </w:r>
          </w:p>
        </w:tc>
        <w:tc>
          <w:tcPr>
            <w:tcW w:w="737" w:type="pct"/>
            <w:hideMark/>
          </w:tcPr>
          <w:p w14:paraId="6563C888" w14:textId="77777777" w:rsidR="00613CA9" w:rsidRPr="00ED41AC" w:rsidRDefault="00613CA9" w:rsidP="001332DE">
            <w:pPr>
              <w:spacing w:after="0" w:line="360" w:lineRule="auto"/>
              <w:jc w:val="center"/>
              <w:rPr>
                <w:rFonts w:cs="Times New Roman"/>
                <w:sz w:val="22"/>
              </w:rPr>
            </w:pPr>
            <w:r w:rsidRPr="00ED41AC">
              <w:rPr>
                <w:rFonts w:cs="Times New Roman"/>
                <w:sz w:val="22"/>
              </w:rPr>
              <w:t>.049</w:t>
            </w:r>
          </w:p>
        </w:tc>
        <w:tc>
          <w:tcPr>
            <w:tcW w:w="1484" w:type="pct"/>
            <w:hideMark/>
          </w:tcPr>
          <w:p w14:paraId="401103D7" w14:textId="77777777" w:rsidR="00613CA9" w:rsidRPr="00ED41AC" w:rsidRDefault="00613CA9" w:rsidP="001332DE">
            <w:pPr>
              <w:spacing w:after="0" w:line="360" w:lineRule="auto"/>
              <w:jc w:val="center"/>
              <w:rPr>
                <w:rFonts w:cs="Times New Roman"/>
                <w:sz w:val="22"/>
              </w:rPr>
            </w:pPr>
            <w:r w:rsidRPr="00ED41AC">
              <w:rPr>
                <w:rFonts w:cs="Times New Roman"/>
                <w:sz w:val="22"/>
              </w:rPr>
              <w:t>.215</w:t>
            </w:r>
          </w:p>
        </w:tc>
        <w:tc>
          <w:tcPr>
            <w:tcW w:w="497" w:type="pct"/>
            <w:hideMark/>
          </w:tcPr>
          <w:p w14:paraId="67CD214D" w14:textId="77777777" w:rsidR="00613CA9" w:rsidRPr="00ED41AC" w:rsidRDefault="00613CA9" w:rsidP="001332DE">
            <w:pPr>
              <w:spacing w:after="0" w:line="360" w:lineRule="auto"/>
              <w:jc w:val="center"/>
              <w:rPr>
                <w:rFonts w:cs="Times New Roman"/>
                <w:sz w:val="22"/>
              </w:rPr>
            </w:pPr>
            <w:r w:rsidRPr="00ED41AC">
              <w:rPr>
                <w:rFonts w:cs="Times New Roman"/>
                <w:sz w:val="22"/>
              </w:rPr>
              <w:t>3.633</w:t>
            </w:r>
          </w:p>
        </w:tc>
        <w:tc>
          <w:tcPr>
            <w:tcW w:w="445" w:type="pct"/>
            <w:hideMark/>
          </w:tcPr>
          <w:p w14:paraId="43836AC7" w14:textId="77777777" w:rsidR="00613CA9" w:rsidRPr="00ED41AC" w:rsidRDefault="00613CA9" w:rsidP="001332DE">
            <w:pPr>
              <w:spacing w:after="0" w:line="360" w:lineRule="auto"/>
              <w:jc w:val="center"/>
              <w:rPr>
                <w:rFonts w:cs="Times New Roman"/>
                <w:sz w:val="22"/>
              </w:rPr>
            </w:pPr>
            <w:r w:rsidRPr="00ED41AC">
              <w:rPr>
                <w:rFonts w:cs="Times New Roman"/>
                <w:sz w:val="22"/>
              </w:rPr>
              <w:t>.000</w:t>
            </w:r>
          </w:p>
        </w:tc>
      </w:tr>
    </w:tbl>
    <w:p w14:paraId="6C3A23A4" w14:textId="77777777" w:rsidR="00613CA9" w:rsidRPr="00ED41AC" w:rsidRDefault="00613CA9" w:rsidP="00613CA9">
      <w:pPr>
        <w:spacing w:before="120" w:after="120" w:line="360" w:lineRule="auto"/>
        <w:jc w:val="both"/>
        <w:rPr>
          <w:rFonts w:cs="Times New Roman"/>
          <w:szCs w:val="24"/>
        </w:rPr>
      </w:pPr>
      <w:r w:rsidRPr="00ED41AC">
        <w:rPr>
          <w:rFonts w:cs="Times New Roman"/>
          <w:i/>
          <w:iCs/>
          <w:szCs w:val="24"/>
        </w:rPr>
        <w:t>a. Dependent Variable: FMO</w:t>
      </w:r>
    </w:p>
    <w:p w14:paraId="0D764AA2" w14:textId="52C60FED" w:rsidR="00613CA9" w:rsidRDefault="00613CA9" w:rsidP="00613CA9">
      <w:pPr>
        <w:spacing w:before="120" w:after="120" w:line="360" w:lineRule="auto"/>
        <w:jc w:val="both"/>
        <w:rPr>
          <w:rFonts w:cs="Times New Roman"/>
          <w:szCs w:val="24"/>
        </w:rPr>
      </w:pPr>
      <w:r w:rsidRPr="003E5FC7">
        <w:rPr>
          <w:rFonts w:cs="Times New Roman"/>
          <w:szCs w:val="24"/>
        </w:rPr>
        <w:t xml:space="preserve">According to Table </w:t>
      </w:r>
      <w:r>
        <w:rPr>
          <w:rFonts w:cs="Times New Roman"/>
          <w:szCs w:val="24"/>
        </w:rPr>
        <w:t>4</w:t>
      </w:r>
      <w:r w:rsidRPr="003E5FC7">
        <w:rPr>
          <w:rFonts w:cs="Times New Roman"/>
          <w:szCs w:val="24"/>
        </w:rPr>
        <w:t>, all predictors in the regression model have significant impacts on the value of the dependent variable (p &lt; 0.05). The obtained results mean that improving predictors leads to better financial management outcomes. Efficiency turned out to be the strongest determinant (β = 0.271, p &lt; .001). This means that the speed and quality of work are highly important. Credibility ranked second (β = 0.215, p &lt; .001) because stakeholder trust plays a crucial role in financial management. Transparency came third (β = 0.198, p = 0.001). Compliance followed (β = 0.176, p = 0.002), and then, Integration (β = 0.148, p = 0.008) and Usability (β = 0.123, p = 0.038).</w:t>
      </w:r>
    </w:p>
    <w:p w14:paraId="0E19ECAA" w14:textId="77777777" w:rsidR="00613CA9" w:rsidRPr="00ED41AC" w:rsidRDefault="00613CA9" w:rsidP="00613CA9">
      <w:pPr>
        <w:spacing w:before="120" w:after="120" w:line="360" w:lineRule="auto"/>
        <w:jc w:val="both"/>
        <w:rPr>
          <w:rFonts w:cs="Times New Roman"/>
          <w:szCs w:val="24"/>
        </w:rPr>
      </w:pPr>
      <w:r w:rsidRPr="00ED41AC">
        <w:rPr>
          <w:rFonts w:cs="Times New Roman"/>
          <w:szCs w:val="24"/>
        </w:rPr>
        <w:t>The constant (B = 0.412, p = 0.038) reflects the baseline level of financial management outcomes when all predictor variables are zero.</w:t>
      </w:r>
      <w:r>
        <w:rPr>
          <w:rFonts w:cs="Times New Roman"/>
          <w:szCs w:val="24"/>
        </w:rPr>
        <w:t xml:space="preserve"> </w:t>
      </w:r>
      <w:r w:rsidRPr="00ED41AC">
        <w:rPr>
          <w:rFonts w:cs="Times New Roman"/>
          <w:szCs w:val="24"/>
        </w:rPr>
        <w:t>Based on the unstandardized coefficients, the following regression equation was formed:</w:t>
      </w:r>
    </w:p>
    <w:p w14:paraId="1398F7FF" w14:textId="77777777" w:rsidR="00613CA9" w:rsidRPr="00ED41AC" w:rsidRDefault="00613CA9" w:rsidP="00613CA9">
      <w:pPr>
        <w:spacing w:before="120" w:after="120" w:line="360" w:lineRule="auto"/>
        <w:jc w:val="both"/>
        <w:rPr>
          <w:rFonts w:cs="Times New Roman"/>
          <w:szCs w:val="24"/>
        </w:rPr>
      </w:pPr>
      <w:r w:rsidRPr="00ED41AC">
        <w:rPr>
          <w:rFonts w:cs="Times New Roman"/>
          <w:b/>
          <w:bCs/>
          <w:szCs w:val="24"/>
        </w:rPr>
        <w:t>FMO = 0.412 + 0.156(TR) + 0.234(EF) + 0.142(CM) + 0.118(IN) + 0.098(US) + 0.178(CR)</w:t>
      </w:r>
    </w:p>
    <w:p w14:paraId="6E6EBAFD" w14:textId="77777777" w:rsidR="00613CA9" w:rsidRPr="00ED41AC" w:rsidRDefault="00613CA9" w:rsidP="00613CA9">
      <w:pPr>
        <w:spacing w:before="120" w:after="120" w:line="360" w:lineRule="auto"/>
        <w:jc w:val="both"/>
        <w:rPr>
          <w:rFonts w:cs="Times New Roman"/>
          <w:szCs w:val="24"/>
        </w:rPr>
      </w:pPr>
      <w:r w:rsidRPr="00ED41AC">
        <w:rPr>
          <w:rFonts w:cs="Times New Roman"/>
          <w:szCs w:val="24"/>
        </w:rPr>
        <w:t>This equation indicates the extent to which each predictor influences financial management outcomes and provides a tool to guide managers and policymakers. For example, improving system efficiency by one unit increases financial management outcomes by 0.234 units, representing the greatest contribution among predictors. Based on the regression analyses, all study objectives were addressed. The test results of the hypotheses are summarized below:</w:t>
      </w:r>
    </w:p>
    <w:p w14:paraId="29087572" w14:textId="77777777" w:rsidR="00613CA9" w:rsidRPr="00ED41AC" w:rsidRDefault="00613CA9" w:rsidP="00613CA9">
      <w:pPr>
        <w:spacing w:before="120" w:after="0" w:line="360" w:lineRule="auto"/>
        <w:jc w:val="both"/>
        <w:rPr>
          <w:rFonts w:cs="Times New Roman"/>
          <w:szCs w:val="24"/>
        </w:rPr>
      </w:pPr>
      <w:r w:rsidRPr="00ED41AC">
        <w:rPr>
          <w:rFonts w:cs="Times New Roman"/>
          <w:szCs w:val="24"/>
        </w:rPr>
        <w:t>Table 18: Summary of Hypotheses</w:t>
      </w:r>
    </w:p>
    <w:tbl>
      <w:tblPr>
        <w:tblStyle w:val="TableGridLight1"/>
        <w:tblW w:w="0" w:type="auto"/>
        <w:tblLook w:val="04A0" w:firstRow="1" w:lastRow="0" w:firstColumn="1" w:lastColumn="0" w:noHBand="0" w:noVBand="1"/>
      </w:tblPr>
      <w:tblGrid>
        <w:gridCol w:w="681"/>
        <w:gridCol w:w="5509"/>
        <w:gridCol w:w="2194"/>
        <w:gridCol w:w="1121"/>
      </w:tblGrid>
      <w:tr w:rsidR="00613CA9" w:rsidRPr="00ED41AC" w14:paraId="2FC693EB" w14:textId="77777777" w:rsidTr="001332DE">
        <w:tc>
          <w:tcPr>
            <w:tcW w:w="0" w:type="auto"/>
            <w:hideMark/>
          </w:tcPr>
          <w:p w14:paraId="448E61DE" w14:textId="77777777" w:rsidR="00613CA9" w:rsidRPr="00ED41AC" w:rsidRDefault="00613CA9" w:rsidP="001332DE">
            <w:pPr>
              <w:spacing w:after="0" w:line="360" w:lineRule="auto"/>
              <w:jc w:val="both"/>
              <w:rPr>
                <w:rFonts w:cs="Times New Roman"/>
                <w:sz w:val="22"/>
              </w:rPr>
            </w:pPr>
            <w:r w:rsidRPr="00ED41AC">
              <w:rPr>
                <w:rFonts w:cs="Times New Roman"/>
                <w:sz w:val="22"/>
              </w:rPr>
              <w:t>Code</w:t>
            </w:r>
          </w:p>
        </w:tc>
        <w:tc>
          <w:tcPr>
            <w:tcW w:w="5509" w:type="dxa"/>
            <w:hideMark/>
          </w:tcPr>
          <w:p w14:paraId="254D581E" w14:textId="77777777" w:rsidR="00613CA9" w:rsidRPr="00ED41AC" w:rsidRDefault="00613CA9" w:rsidP="001332DE">
            <w:pPr>
              <w:spacing w:after="0" w:line="360" w:lineRule="auto"/>
              <w:jc w:val="both"/>
              <w:rPr>
                <w:rFonts w:cs="Times New Roman"/>
                <w:sz w:val="22"/>
              </w:rPr>
            </w:pPr>
            <w:r w:rsidRPr="00ED41AC">
              <w:rPr>
                <w:rFonts w:cs="Times New Roman"/>
                <w:sz w:val="22"/>
              </w:rPr>
              <w:t>Alternative Hypothesis</w:t>
            </w:r>
          </w:p>
        </w:tc>
        <w:tc>
          <w:tcPr>
            <w:tcW w:w="2194" w:type="dxa"/>
            <w:hideMark/>
          </w:tcPr>
          <w:p w14:paraId="233A41E7" w14:textId="77777777" w:rsidR="00613CA9" w:rsidRPr="00ED41AC" w:rsidRDefault="00613CA9" w:rsidP="001332DE">
            <w:pPr>
              <w:spacing w:after="0" w:line="360" w:lineRule="auto"/>
              <w:jc w:val="both"/>
              <w:rPr>
                <w:rFonts w:cs="Times New Roman"/>
                <w:sz w:val="22"/>
              </w:rPr>
            </w:pPr>
            <w:r w:rsidRPr="00ED41AC">
              <w:rPr>
                <w:rFonts w:cs="Times New Roman"/>
                <w:sz w:val="22"/>
              </w:rPr>
              <w:t>Significance</w:t>
            </w:r>
          </w:p>
        </w:tc>
        <w:tc>
          <w:tcPr>
            <w:tcW w:w="0" w:type="auto"/>
            <w:hideMark/>
          </w:tcPr>
          <w:p w14:paraId="0CFF0DF1" w14:textId="77777777" w:rsidR="00613CA9" w:rsidRPr="00ED41AC" w:rsidRDefault="00613CA9" w:rsidP="001332DE">
            <w:pPr>
              <w:spacing w:after="0" w:line="360" w:lineRule="auto"/>
              <w:jc w:val="both"/>
              <w:rPr>
                <w:rFonts w:cs="Times New Roman"/>
                <w:sz w:val="22"/>
              </w:rPr>
            </w:pPr>
            <w:r w:rsidRPr="00ED41AC">
              <w:rPr>
                <w:rFonts w:cs="Times New Roman"/>
                <w:sz w:val="22"/>
              </w:rPr>
              <w:t>Decision</w:t>
            </w:r>
          </w:p>
        </w:tc>
      </w:tr>
      <w:tr w:rsidR="00613CA9" w:rsidRPr="00ED41AC" w14:paraId="4049CB07" w14:textId="77777777" w:rsidTr="001332DE">
        <w:tc>
          <w:tcPr>
            <w:tcW w:w="0" w:type="auto"/>
            <w:hideMark/>
          </w:tcPr>
          <w:p w14:paraId="70256F24" w14:textId="77777777" w:rsidR="00613CA9" w:rsidRPr="00ED41AC" w:rsidRDefault="00613CA9" w:rsidP="001332DE">
            <w:pPr>
              <w:spacing w:after="0" w:line="360" w:lineRule="auto"/>
              <w:jc w:val="both"/>
              <w:rPr>
                <w:rFonts w:cs="Times New Roman"/>
                <w:sz w:val="22"/>
              </w:rPr>
            </w:pPr>
            <w:r w:rsidRPr="00ED41AC">
              <w:rPr>
                <w:rFonts w:cs="Times New Roman"/>
                <w:sz w:val="22"/>
              </w:rPr>
              <w:t>H1</w:t>
            </w:r>
          </w:p>
        </w:tc>
        <w:tc>
          <w:tcPr>
            <w:tcW w:w="5509" w:type="dxa"/>
            <w:hideMark/>
          </w:tcPr>
          <w:p w14:paraId="6725B0EF" w14:textId="77777777" w:rsidR="00613CA9" w:rsidRPr="00ED41AC" w:rsidRDefault="00613CA9" w:rsidP="001332DE">
            <w:pPr>
              <w:spacing w:after="0" w:line="360" w:lineRule="auto"/>
              <w:jc w:val="both"/>
              <w:rPr>
                <w:rFonts w:cs="Times New Roman"/>
                <w:sz w:val="22"/>
              </w:rPr>
            </w:pPr>
            <w:r w:rsidRPr="00ED41AC">
              <w:rPr>
                <w:rFonts w:cs="Times New Roman"/>
                <w:sz w:val="22"/>
              </w:rPr>
              <w:t>System transparency has a significant positive effect on financial management</w:t>
            </w:r>
          </w:p>
        </w:tc>
        <w:tc>
          <w:tcPr>
            <w:tcW w:w="2194" w:type="dxa"/>
            <w:hideMark/>
          </w:tcPr>
          <w:p w14:paraId="2C01C094" w14:textId="77777777" w:rsidR="00613CA9" w:rsidRPr="00ED41AC" w:rsidRDefault="00613CA9" w:rsidP="001332DE">
            <w:pPr>
              <w:spacing w:after="0" w:line="360" w:lineRule="auto"/>
              <w:jc w:val="both"/>
              <w:rPr>
                <w:rFonts w:cs="Times New Roman"/>
                <w:sz w:val="22"/>
              </w:rPr>
            </w:pPr>
            <w:r w:rsidRPr="00ED41AC">
              <w:rPr>
                <w:rFonts w:cs="Times New Roman"/>
                <w:sz w:val="22"/>
              </w:rPr>
              <w:t>β = .198, p = .001</w:t>
            </w:r>
          </w:p>
        </w:tc>
        <w:tc>
          <w:tcPr>
            <w:tcW w:w="0" w:type="auto"/>
            <w:hideMark/>
          </w:tcPr>
          <w:p w14:paraId="5A45BBFD"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r w:rsidR="00613CA9" w:rsidRPr="00ED41AC" w14:paraId="60C81E71" w14:textId="77777777" w:rsidTr="001332DE">
        <w:tc>
          <w:tcPr>
            <w:tcW w:w="0" w:type="auto"/>
            <w:hideMark/>
          </w:tcPr>
          <w:p w14:paraId="69FE9785" w14:textId="77777777" w:rsidR="00613CA9" w:rsidRPr="00ED41AC" w:rsidRDefault="00613CA9" w:rsidP="001332DE">
            <w:pPr>
              <w:spacing w:after="0" w:line="360" w:lineRule="auto"/>
              <w:jc w:val="both"/>
              <w:rPr>
                <w:rFonts w:cs="Times New Roman"/>
                <w:sz w:val="22"/>
              </w:rPr>
            </w:pPr>
            <w:r w:rsidRPr="00ED41AC">
              <w:rPr>
                <w:rFonts w:cs="Times New Roman"/>
                <w:sz w:val="22"/>
              </w:rPr>
              <w:t>H2</w:t>
            </w:r>
          </w:p>
        </w:tc>
        <w:tc>
          <w:tcPr>
            <w:tcW w:w="5509" w:type="dxa"/>
            <w:hideMark/>
          </w:tcPr>
          <w:p w14:paraId="6707AA32" w14:textId="77777777" w:rsidR="00613CA9" w:rsidRPr="00ED41AC" w:rsidRDefault="00613CA9" w:rsidP="001332DE">
            <w:pPr>
              <w:spacing w:after="0" w:line="360" w:lineRule="auto"/>
              <w:jc w:val="both"/>
              <w:rPr>
                <w:rFonts w:cs="Times New Roman"/>
                <w:sz w:val="22"/>
              </w:rPr>
            </w:pPr>
            <w:r w:rsidRPr="00ED41AC">
              <w:rPr>
                <w:rFonts w:cs="Times New Roman"/>
                <w:sz w:val="22"/>
              </w:rPr>
              <w:t>System efficiency has a significant positive effect on financial management</w:t>
            </w:r>
          </w:p>
        </w:tc>
        <w:tc>
          <w:tcPr>
            <w:tcW w:w="2194" w:type="dxa"/>
            <w:hideMark/>
          </w:tcPr>
          <w:p w14:paraId="2C193B0C" w14:textId="77777777" w:rsidR="00613CA9" w:rsidRPr="00ED41AC" w:rsidRDefault="00613CA9" w:rsidP="001332DE">
            <w:pPr>
              <w:spacing w:after="0" w:line="360" w:lineRule="auto"/>
              <w:jc w:val="both"/>
              <w:rPr>
                <w:rFonts w:cs="Times New Roman"/>
                <w:sz w:val="22"/>
              </w:rPr>
            </w:pPr>
            <w:r w:rsidRPr="00ED41AC">
              <w:rPr>
                <w:rFonts w:cs="Times New Roman"/>
                <w:sz w:val="22"/>
              </w:rPr>
              <w:t>β = .271, p &lt; .001</w:t>
            </w:r>
          </w:p>
        </w:tc>
        <w:tc>
          <w:tcPr>
            <w:tcW w:w="0" w:type="auto"/>
            <w:hideMark/>
          </w:tcPr>
          <w:p w14:paraId="5EFB1100"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r w:rsidR="00613CA9" w:rsidRPr="00ED41AC" w14:paraId="2E896173" w14:textId="77777777" w:rsidTr="001332DE">
        <w:tc>
          <w:tcPr>
            <w:tcW w:w="0" w:type="auto"/>
            <w:hideMark/>
          </w:tcPr>
          <w:p w14:paraId="7844AF09" w14:textId="77777777" w:rsidR="00613CA9" w:rsidRPr="00ED41AC" w:rsidRDefault="00613CA9" w:rsidP="001332DE">
            <w:pPr>
              <w:spacing w:after="0" w:line="360" w:lineRule="auto"/>
              <w:jc w:val="both"/>
              <w:rPr>
                <w:rFonts w:cs="Times New Roman"/>
                <w:sz w:val="22"/>
              </w:rPr>
            </w:pPr>
            <w:r w:rsidRPr="00ED41AC">
              <w:rPr>
                <w:rFonts w:cs="Times New Roman"/>
                <w:sz w:val="22"/>
              </w:rPr>
              <w:t>H3</w:t>
            </w:r>
          </w:p>
        </w:tc>
        <w:tc>
          <w:tcPr>
            <w:tcW w:w="5509" w:type="dxa"/>
            <w:hideMark/>
          </w:tcPr>
          <w:p w14:paraId="7DFBF23D" w14:textId="77777777" w:rsidR="00613CA9" w:rsidRPr="00ED41AC" w:rsidRDefault="00613CA9" w:rsidP="001332DE">
            <w:pPr>
              <w:spacing w:after="0" w:line="360" w:lineRule="auto"/>
              <w:jc w:val="both"/>
              <w:rPr>
                <w:rFonts w:cs="Times New Roman"/>
                <w:sz w:val="22"/>
              </w:rPr>
            </w:pPr>
            <w:r w:rsidRPr="00ED41AC">
              <w:rPr>
                <w:rFonts w:cs="Times New Roman"/>
                <w:sz w:val="22"/>
              </w:rPr>
              <w:t>System compliance has a significant positive effect on financial management</w:t>
            </w:r>
          </w:p>
        </w:tc>
        <w:tc>
          <w:tcPr>
            <w:tcW w:w="2194" w:type="dxa"/>
            <w:hideMark/>
          </w:tcPr>
          <w:p w14:paraId="458905AC" w14:textId="77777777" w:rsidR="00613CA9" w:rsidRPr="00ED41AC" w:rsidRDefault="00613CA9" w:rsidP="001332DE">
            <w:pPr>
              <w:spacing w:after="0" w:line="360" w:lineRule="auto"/>
              <w:jc w:val="both"/>
              <w:rPr>
                <w:rFonts w:cs="Times New Roman"/>
                <w:sz w:val="22"/>
              </w:rPr>
            </w:pPr>
            <w:r w:rsidRPr="00ED41AC">
              <w:rPr>
                <w:rFonts w:cs="Times New Roman"/>
                <w:sz w:val="22"/>
              </w:rPr>
              <w:t>β = .176, p = .002</w:t>
            </w:r>
          </w:p>
        </w:tc>
        <w:tc>
          <w:tcPr>
            <w:tcW w:w="0" w:type="auto"/>
            <w:hideMark/>
          </w:tcPr>
          <w:p w14:paraId="34AB6689"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r w:rsidR="00613CA9" w:rsidRPr="00ED41AC" w14:paraId="65177342" w14:textId="77777777" w:rsidTr="001332DE">
        <w:tc>
          <w:tcPr>
            <w:tcW w:w="0" w:type="auto"/>
            <w:hideMark/>
          </w:tcPr>
          <w:p w14:paraId="676C3DC9" w14:textId="77777777" w:rsidR="00613CA9" w:rsidRPr="00ED41AC" w:rsidRDefault="00613CA9" w:rsidP="001332DE">
            <w:pPr>
              <w:spacing w:after="0" w:line="360" w:lineRule="auto"/>
              <w:jc w:val="both"/>
              <w:rPr>
                <w:rFonts w:cs="Times New Roman"/>
                <w:sz w:val="22"/>
              </w:rPr>
            </w:pPr>
            <w:r w:rsidRPr="00ED41AC">
              <w:rPr>
                <w:rFonts w:cs="Times New Roman"/>
                <w:sz w:val="22"/>
              </w:rPr>
              <w:t>H4</w:t>
            </w:r>
          </w:p>
        </w:tc>
        <w:tc>
          <w:tcPr>
            <w:tcW w:w="5509" w:type="dxa"/>
            <w:hideMark/>
          </w:tcPr>
          <w:p w14:paraId="3E8B2D06" w14:textId="77777777" w:rsidR="00613CA9" w:rsidRPr="00ED41AC" w:rsidRDefault="00613CA9" w:rsidP="001332DE">
            <w:pPr>
              <w:spacing w:after="0" w:line="360" w:lineRule="auto"/>
              <w:jc w:val="both"/>
              <w:rPr>
                <w:rFonts w:cs="Times New Roman"/>
                <w:sz w:val="22"/>
              </w:rPr>
            </w:pPr>
            <w:r w:rsidRPr="00ED41AC">
              <w:rPr>
                <w:rFonts w:cs="Times New Roman"/>
                <w:sz w:val="22"/>
              </w:rPr>
              <w:t>System integration has a significant positive effect on financial management</w:t>
            </w:r>
          </w:p>
        </w:tc>
        <w:tc>
          <w:tcPr>
            <w:tcW w:w="2194" w:type="dxa"/>
            <w:hideMark/>
          </w:tcPr>
          <w:p w14:paraId="7C4B1352" w14:textId="77777777" w:rsidR="00613CA9" w:rsidRPr="00ED41AC" w:rsidRDefault="00613CA9" w:rsidP="001332DE">
            <w:pPr>
              <w:spacing w:after="0" w:line="360" w:lineRule="auto"/>
              <w:jc w:val="both"/>
              <w:rPr>
                <w:rFonts w:cs="Times New Roman"/>
                <w:sz w:val="22"/>
              </w:rPr>
            </w:pPr>
            <w:r w:rsidRPr="00ED41AC">
              <w:rPr>
                <w:rFonts w:cs="Times New Roman"/>
                <w:sz w:val="22"/>
              </w:rPr>
              <w:t>β = .148, p = .008</w:t>
            </w:r>
          </w:p>
        </w:tc>
        <w:tc>
          <w:tcPr>
            <w:tcW w:w="0" w:type="auto"/>
            <w:hideMark/>
          </w:tcPr>
          <w:p w14:paraId="67313051"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r w:rsidR="00613CA9" w:rsidRPr="00ED41AC" w14:paraId="5076F579" w14:textId="77777777" w:rsidTr="001332DE">
        <w:tc>
          <w:tcPr>
            <w:tcW w:w="0" w:type="auto"/>
            <w:hideMark/>
          </w:tcPr>
          <w:p w14:paraId="4FAD9107" w14:textId="77777777" w:rsidR="00613CA9" w:rsidRPr="00ED41AC" w:rsidRDefault="00613CA9" w:rsidP="001332DE">
            <w:pPr>
              <w:spacing w:after="0" w:line="360" w:lineRule="auto"/>
              <w:jc w:val="both"/>
              <w:rPr>
                <w:rFonts w:cs="Times New Roman"/>
                <w:sz w:val="22"/>
              </w:rPr>
            </w:pPr>
            <w:r w:rsidRPr="00ED41AC">
              <w:rPr>
                <w:rFonts w:cs="Times New Roman"/>
                <w:sz w:val="22"/>
              </w:rPr>
              <w:lastRenderedPageBreak/>
              <w:t>H5</w:t>
            </w:r>
          </w:p>
        </w:tc>
        <w:tc>
          <w:tcPr>
            <w:tcW w:w="5509" w:type="dxa"/>
            <w:hideMark/>
          </w:tcPr>
          <w:p w14:paraId="50A1A284" w14:textId="77777777" w:rsidR="00613CA9" w:rsidRPr="00ED41AC" w:rsidRDefault="00613CA9" w:rsidP="001332DE">
            <w:pPr>
              <w:spacing w:after="0" w:line="360" w:lineRule="auto"/>
              <w:jc w:val="both"/>
              <w:rPr>
                <w:rFonts w:cs="Times New Roman"/>
                <w:sz w:val="22"/>
              </w:rPr>
            </w:pPr>
            <w:r w:rsidRPr="00ED41AC">
              <w:rPr>
                <w:rFonts w:cs="Times New Roman"/>
                <w:sz w:val="22"/>
              </w:rPr>
              <w:t>System usability has a significant positive effect on financial management</w:t>
            </w:r>
          </w:p>
        </w:tc>
        <w:tc>
          <w:tcPr>
            <w:tcW w:w="2194" w:type="dxa"/>
            <w:hideMark/>
          </w:tcPr>
          <w:p w14:paraId="63E48E26" w14:textId="77777777" w:rsidR="00613CA9" w:rsidRPr="00ED41AC" w:rsidRDefault="00613CA9" w:rsidP="001332DE">
            <w:pPr>
              <w:spacing w:after="0" w:line="360" w:lineRule="auto"/>
              <w:jc w:val="both"/>
              <w:rPr>
                <w:rFonts w:cs="Times New Roman"/>
                <w:sz w:val="22"/>
              </w:rPr>
            </w:pPr>
            <w:r w:rsidRPr="00ED41AC">
              <w:rPr>
                <w:rFonts w:cs="Times New Roman"/>
                <w:sz w:val="22"/>
              </w:rPr>
              <w:t>β = .123, p = .038</w:t>
            </w:r>
          </w:p>
        </w:tc>
        <w:tc>
          <w:tcPr>
            <w:tcW w:w="0" w:type="auto"/>
            <w:hideMark/>
          </w:tcPr>
          <w:p w14:paraId="522E2CBB"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r w:rsidR="00613CA9" w:rsidRPr="00ED41AC" w14:paraId="4C627838" w14:textId="77777777" w:rsidTr="001332DE">
        <w:tc>
          <w:tcPr>
            <w:tcW w:w="0" w:type="auto"/>
            <w:hideMark/>
          </w:tcPr>
          <w:p w14:paraId="7EB4003D" w14:textId="77777777" w:rsidR="00613CA9" w:rsidRPr="00ED41AC" w:rsidRDefault="00613CA9" w:rsidP="001332DE">
            <w:pPr>
              <w:spacing w:after="0" w:line="360" w:lineRule="auto"/>
              <w:jc w:val="both"/>
              <w:rPr>
                <w:rFonts w:cs="Times New Roman"/>
                <w:sz w:val="22"/>
              </w:rPr>
            </w:pPr>
            <w:r w:rsidRPr="00ED41AC">
              <w:rPr>
                <w:rFonts w:cs="Times New Roman"/>
                <w:sz w:val="22"/>
              </w:rPr>
              <w:t>H6</w:t>
            </w:r>
          </w:p>
        </w:tc>
        <w:tc>
          <w:tcPr>
            <w:tcW w:w="5509" w:type="dxa"/>
            <w:hideMark/>
          </w:tcPr>
          <w:p w14:paraId="5A7A29D5" w14:textId="77777777" w:rsidR="00613CA9" w:rsidRPr="00ED41AC" w:rsidRDefault="00613CA9" w:rsidP="001332DE">
            <w:pPr>
              <w:spacing w:after="0" w:line="360" w:lineRule="auto"/>
              <w:jc w:val="both"/>
              <w:rPr>
                <w:rFonts w:cs="Times New Roman"/>
                <w:sz w:val="22"/>
              </w:rPr>
            </w:pPr>
            <w:r w:rsidRPr="00ED41AC">
              <w:rPr>
                <w:rFonts w:cs="Times New Roman"/>
                <w:sz w:val="22"/>
              </w:rPr>
              <w:t>System credibility has a significant positive effect on financial management</w:t>
            </w:r>
          </w:p>
        </w:tc>
        <w:tc>
          <w:tcPr>
            <w:tcW w:w="2194" w:type="dxa"/>
            <w:hideMark/>
          </w:tcPr>
          <w:p w14:paraId="1BA3AC05" w14:textId="77777777" w:rsidR="00613CA9" w:rsidRPr="00ED41AC" w:rsidRDefault="00613CA9" w:rsidP="001332DE">
            <w:pPr>
              <w:spacing w:after="0" w:line="360" w:lineRule="auto"/>
              <w:jc w:val="both"/>
              <w:rPr>
                <w:rFonts w:cs="Times New Roman"/>
                <w:sz w:val="22"/>
              </w:rPr>
            </w:pPr>
            <w:r w:rsidRPr="00ED41AC">
              <w:rPr>
                <w:rFonts w:cs="Times New Roman"/>
                <w:sz w:val="22"/>
              </w:rPr>
              <w:t>β = .215, p &lt; .001</w:t>
            </w:r>
          </w:p>
        </w:tc>
        <w:tc>
          <w:tcPr>
            <w:tcW w:w="0" w:type="auto"/>
            <w:hideMark/>
          </w:tcPr>
          <w:p w14:paraId="710AF4E9" w14:textId="77777777" w:rsidR="00613CA9" w:rsidRPr="00ED41AC" w:rsidRDefault="00613CA9" w:rsidP="001332DE">
            <w:pPr>
              <w:spacing w:after="0" w:line="360" w:lineRule="auto"/>
              <w:jc w:val="both"/>
              <w:rPr>
                <w:rFonts w:cs="Times New Roman"/>
                <w:sz w:val="22"/>
              </w:rPr>
            </w:pPr>
            <w:r w:rsidRPr="00ED41AC">
              <w:rPr>
                <w:rFonts w:cs="Times New Roman"/>
                <w:sz w:val="22"/>
              </w:rPr>
              <w:t>Supported</w:t>
            </w:r>
          </w:p>
        </w:tc>
      </w:tr>
    </w:tbl>
    <w:p w14:paraId="78AAD3A2" w14:textId="6D638D4E" w:rsidR="00613CA9" w:rsidRPr="00613CA9" w:rsidRDefault="00613CA9" w:rsidP="00613CA9">
      <w:pPr>
        <w:spacing w:before="120" w:after="120" w:line="360" w:lineRule="auto"/>
        <w:jc w:val="both"/>
        <w:rPr>
          <w:rFonts w:cs="Times New Roman"/>
          <w:sz w:val="20"/>
          <w:szCs w:val="20"/>
        </w:rPr>
      </w:pPr>
      <w:r w:rsidRPr="00613CA9">
        <w:rPr>
          <w:rFonts w:cs="Times New Roman"/>
          <w:sz w:val="20"/>
          <w:szCs w:val="20"/>
        </w:rPr>
        <w:t>Source: Own Survey, 2026</w:t>
      </w:r>
    </w:p>
    <w:p w14:paraId="4C85DF25" w14:textId="77777777" w:rsidR="00613CA9" w:rsidRPr="00613CA9" w:rsidRDefault="00613CA9" w:rsidP="00613CA9">
      <w:pPr>
        <w:rPr>
          <w:rFonts w:eastAsiaTheme="majorEastAsia"/>
          <w:b/>
          <w:bCs/>
          <w:iCs/>
          <w:color w:val="000000" w:themeColor="text1"/>
          <w:kern w:val="32"/>
          <w:szCs w:val="24"/>
          <w14:ligatures w14:val="none"/>
        </w:rPr>
      </w:pPr>
      <w:bookmarkStart w:id="7" w:name="_Toc229990274"/>
      <w:r w:rsidRPr="00613CA9">
        <w:rPr>
          <w:rFonts w:eastAsiaTheme="majorEastAsia"/>
          <w:b/>
          <w:bCs/>
          <w:iCs/>
          <w:color w:val="000000" w:themeColor="text1"/>
          <w:kern w:val="32"/>
          <w:szCs w:val="24"/>
          <w14:ligatures w14:val="none"/>
        </w:rPr>
        <w:t>Discussion of Findings</w:t>
      </w:r>
      <w:bookmarkEnd w:id="7"/>
    </w:p>
    <w:p w14:paraId="46CE5A7E"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Implications of the statistical results obtained in the course of the study for the purpose of the research project are provided. When discussing findings, theoretical perspectives adopted during the study process and results from previous empirical research are considered.</w:t>
      </w:r>
    </w:p>
    <w:p w14:paraId="75727B9F"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 xml:space="preserve">First of all, it was established that efficiency of the system was the attribute having the biggest influence on the financial management outcomes (β = 0.271, p &lt; 0.001). Such finding correlates with previous studies. For example, the adoption of the GIFMIS system in Ghana shortened payment processing time in the country's central treasury, according to Mohammed (2017). </w:t>
      </w:r>
      <w:proofErr w:type="spellStart"/>
      <w:r w:rsidRPr="00170F18">
        <w:rPr>
          <w:rFonts w:cs="Times New Roman"/>
          <w:szCs w:val="24"/>
        </w:rPr>
        <w:t>Sikabanga</w:t>
      </w:r>
      <w:proofErr w:type="spellEnd"/>
      <w:r w:rsidRPr="00170F18">
        <w:rPr>
          <w:rFonts w:cs="Times New Roman"/>
          <w:szCs w:val="24"/>
        </w:rPr>
        <w:t xml:space="preserve"> and </w:t>
      </w:r>
      <w:proofErr w:type="spellStart"/>
      <w:r w:rsidRPr="00170F18">
        <w:rPr>
          <w:rFonts w:cs="Times New Roman"/>
          <w:szCs w:val="24"/>
        </w:rPr>
        <w:t>Haabazoka</w:t>
      </w:r>
      <w:proofErr w:type="spellEnd"/>
      <w:r w:rsidRPr="00170F18">
        <w:rPr>
          <w:rFonts w:cs="Times New Roman"/>
          <w:szCs w:val="24"/>
        </w:rPr>
        <w:t xml:space="preserve"> (2025) also found that the adoption of the IFMIS in Zambia enhanced accuracy of financial reports and increased adherence to budgetary processes. As a result, funds could be disbursed more efficiently.</w:t>
      </w:r>
    </w:p>
    <w:p w14:paraId="43FD7986"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 xml:space="preserve">Descriptive statistics suggests that both items "IBEX enables faster generation of financial reports" (M = 3.82) and "IBEX processes transactions with high accuracy" (M = 3.71) had relatively high mean scores, proving the important role played by efficiency in the process. Contrariwise, "IBEX has minimized manual data entry and reconciliation efforts" (M = 3.38) had the lowest mean score indicating that manual procedures remain regardless of the system introduction. This assumption is supported by the findings of </w:t>
      </w:r>
      <w:proofErr w:type="spellStart"/>
      <w:r w:rsidRPr="00170F18">
        <w:rPr>
          <w:rFonts w:cs="Times New Roman"/>
          <w:szCs w:val="24"/>
        </w:rPr>
        <w:t>Mlawasi</w:t>
      </w:r>
      <w:proofErr w:type="spellEnd"/>
      <w:r w:rsidRPr="00170F18">
        <w:rPr>
          <w:rFonts w:cs="Times New Roman"/>
          <w:szCs w:val="24"/>
        </w:rPr>
        <w:t xml:space="preserve"> (2025), who claims that efficiency in IFMIS operation depends on ICT capabilities and users' competencies.</w:t>
      </w:r>
    </w:p>
    <w:p w14:paraId="6E2BDFC5"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Such result can also be associated with the Diffusion of Innovations theory by Rogers (2003), according to which relative advantage of innovations serves as one of the most significant predictors of their successful implementation. Apart from that, such finding can be associated with the Agency theory since efficiency reduces information asymmetry between donors and implementers of their programs.</w:t>
      </w:r>
    </w:p>
    <w:p w14:paraId="24347D75"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 xml:space="preserve">Credibility of the system turned out to be another important determinant (β = 0.215, p &lt; 0.001). Such result is confirmed by the findings of </w:t>
      </w:r>
      <w:proofErr w:type="spellStart"/>
      <w:r w:rsidRPr="00170F18">
        <w:rPr>
          <w:rFonts w:cs="Times New Roman"/>
          <w:szCs w:val="24"/>
        </w:rPr>
        <w:t>Chalu</w:t>
      </w:r>
      <w:proofErr w:type="spellEnd"/>
      <w:r w:rsidRPr="00170F18">
        <w:rPr>
          <w:rFonts w:cs="Times New Roman"/>
          <w:szCs w:val="24"/>
        </w:rPr>
        <w:t xml:space="preserve"> (2019) who proved that implementation of IFMIS </w:t>
      </w:r>
      <w:r w:rsidRPr="00170F18">
        <w:rPr>
          <w:rFonts w:cs="Times New Roman"/>
          <w:szCs w:val="24"/>
        </w:rPr>
        <w:lastRenderedPageBreak/>
        <w:t>system in Tanzania increased credibility of financial reporting in the region. Additionally, the study conducted in 2024 at Addis Ababa University suggests that implementation of IFMIS in Ethiopia improved accuracy and timeliness of financial information and decision-making in finance.</w:t>
      </w:r>
    </w:p>
    <w:p w14:paraId="0CBDB2C5"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According to descriptive statistics, items "The financial information from IBEX is considered trustworthy by management" (M = 3.76) and "IBEX reports are consistently accurate and reliable" (M = 3.71) have the highest mean scores, while "Donors express confidence in financial reports generated from IBEX" (M = 3.48) – the lowest. It means that some issues might occur regarding building credibility of IBEX in terms of its external users. Such assumption can be made considering that the OECD (2011) report emphasized the importance of credibility of financial information for mutual accountability in development cooperation. Such result can be explained by the Stewardship theory according to which credible financial systems allow stewards to apply their expertise and knowledge.</w:t>
      </w:r>
    </w:p>
    <w:p w14:paraId="647FEB0F"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 xml:space="preserve">Transparency of the system was the next factor influencing financial management outcomes (β = 0.198, p = 0.001). Such finding was confirmed by Dipama (2024) who claims that transparency of PFM systems contributes to donor confidence. </w:t>
      </w:r>
      <w:proofErr w:type="spellStart"/>
      <w:r w:rsidRPr="00170F18">
        <w:rPr>
          <w:rFonts w:cs="Times New Roman"/>
          <w:szCs w:val="24"/>
        </w:rPr>
        <w:t>Awudu</w:t>
      </w:r>
      <w:proofErr w:type="spellEnd"/>
      <w:r w:rsidRPr="00170F18">
        <w:rPr>
          <w:rFonts w:cs="Times New Roman"/>
          <w:szCs w:val="24"/>
        </w:rPr>
        <w:t xml:space="preserve"> et al. (2024) proved that technological infrastructure and governmental policies promote financial transparency during GIFMIS implementation in Ghana.</w:t>
      </w:r>
    </w:p>
    <w:p w14:paraId="1A6980D5"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According to descriptive statistics, item "IBEX provides clear visibility of budget allocations for my project" (M = 3.92) has the highest mean score, while "IBEX enables donors to access financial information directly" (M = 3.45) has the lowest. According to the Agency theory, transparency helps to overcome information asymmetry between donors and implementing agencies and promotes efficient financial management.</w:t>
      </w:r>
    </w:p>
    <w:p w14:paraId="5C8031CF"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Compliance with regulatory and donor requirements appeared to have a considerable impact on financial management outcomes (β = 0.176, p = 0.002). Such finding proves the assumption put forward by Nhial, Shiku, and Siwale (2025) about significant correlation between compliance with internal control systems and IFMIS system performance (p = 0.003). Oketcho (2024) also confirmed that internal control within IFMIS positively affects financial management in Uganda.</w:t>
      </w:r>
    </w:p>
    <w:p w14:paraId="3D03C883"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 xml:space="preserve">According to descriptive statistics, "IBEX complies with the governmental financial regulations" (M = 3.96) has a higher score compared to "IBEX complies with donor-specific financial regulations" (M = 3.51). Such difference is justified considering the difficulties described in the </w:t>
      </w:r>
      <w:r w:rsidRPr="00170F18">
        <w:rPr>
          <w:rFonts w:cs="Times New Roman"/>
          <w:szCs w:val="24"/>
        </w:rPr>
        <w:lastRenderedPageBreak/>
        <w:t xml:space="preserve">literature about matching the systems' requirements of different donors (de </w:t>
      </w:r>
      <w:proofErr w:type="spellStart"/>
      <w:r w:rsidRPr="00170F18">
        <w:rPr>
          <w:rFonts w:cs="Times New Roman"/>
          <w:szCs w:val="24"/>
        </w:rPr>
        <w:t>Renzio</w:t>
      </w:r>
      <w:proofErr w:type="spellEnd"/>
      <w:r w:rsidRPr="00170F18">
        <w:rPr>
          <w:rFonts w:cs="Times New Roman"/>
          <w:szCs w:val="24"/>
        </w:rPr>
        <w:t>, Andrews, &amp; Mills, 2010).</w:t>
      </w:r>
    </w:p>
    <w:p w14:paraId="55301C29"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Integration of the system was positively correlated with financial management outcomes (β = 0.148, p = 0.008). Such finding proves the findings of Tetteh et al. (2022) who claimed that regulatory, environmental, and organizational factors influence IFMIS integration into operations of local governments in Ghana. Nonetheless, descriptive statistics shows that "IBEX eliminates the need for parallel financial records for donor reporting" (M = 2.98) received the lowest mean score, indicating that parallel reporting structures remain despite the system implementation. Such result can be considered the evidence for filling the gap indicated in the problem statement.</w:t>
      </w:r>
    </w:p>
    <w:p w14:paraId="31B5312E"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Finally, Usability of the System had a positive effect on financial management outcomes (β = 0.123, p = 0.038). Such finding corroborates the findings made by Haile (2025), according to which staff resistance, capacity and technical skills deficit, and ICT complexity contribute to poor performance of IFMIS in Ethiopia's Ministry of Finance. Descriptive statistics shows that "Technical support is readily available when I encounter problems with IBEX" (M = 2.95) has the lowest mean score.</w:t>
      </w:r>
    </w:p>
    <w:p w14:paraId="0F2C74DA" w14:textId="77777777" w:rsidR="00613CA9" w:rsidRPr="00170F18" w:rsidRDefault="00613CA9" w:rsidP="00613CA9">
      <w:pPr>
        <w:spacing w:before="120" w:after="120" w:line="360" w:lineRule="auto"/>
        <w:jc w:val="both"/>
        <w:rPr>
          <w:rFonts w:cs="Times New Roman"/>
          <w:szCs w:val="24"/>
        </w:rPr>
      </w:pPr>
      <w:r w:rsidRPr="00170F18">
        <w:rPr>
          <w:rFonts w:cs="Times New Roman"/>
          <w:szCs w:val="24"/>
        </w:rPr>
        <w:t>Having considered that one of the main predictors of innovation diffusion suggested by Rogers (2003) is complexity, the obtained result can be justified. Attributes such as efficiency and credibility seem to be of more significance than usability in the case of IBEX.</w:t>
      </w:r>
    </w:p>
    <w:p w14:paraId="378B7915" w14:textId="77777777" w:rsidR="00613CA9" w:rsidRPr="00ED41AC" w:rsidRDefault="00613CA9" w:rsidP="00613CA9">
      <w:pPr>
        <w:spacing w:before="120" w:after="120" w:line="360" w:lineRule="auto"/>
        <w:jc w:val="both"/>
        <w:rPr>
          <w:rFonts w:cs="Times New Roman"/>
          <w:szCs w:val="24"/>
        </w:rPr>
      </w:pPr>
      <w:r w:rsidRPr="00170F18">
        <w:rPr>
          <w:rFonts w:cs="Times New Roman"/>
          <w:szCs w:val="24"/>
        </w:rPr>
        <w:t>In summary, it is possible to state that all six hypotheses posed in the present study were proven and the six attributes of Ethiopia's IBEX explained 62.3% of the variance in financial management outcomes. Efficiency (β = 0.271) proved to be the most influential attribute, followed by credibility (β = 0.215), transparency (β = 0.198), compliance (β = 0.176), integration (β = 0.148), and usability (β = 0.123). The obtained findings can be applied when allocating resources</w:t>
      </w:r>
      <w:r w:rsidRPr="003E5FC7">
        <w:rPr>
          <w:rFonts w:cs="Times New Roman"/>
          <w:szCs w:val="24"/>
        </w:rPr>
        <w:t>.</w:t>
      </w:r>
    </w:p>
    <w:p w14:paraId="66C423AF" w14:textId="3D1B2A38"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Conclusion</w:t>
      </w:r>
    </w:p>
    <w:p w14:paraId="0D99DA74"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This study provides robust empirical evidence that Ethiopia’s IBEX system positively and significantly impacts financial management of donor</w:t>
      </w:r>
      <w:r w:rsidRPr="00613CA9">
        <w:rPr>
          <w:rFonts w:cs="Times New Roman"/>
          <w:szCs w:val="24"/>
        </w:rPr>
        <w:noBreakHyphen/>
        <w:t>funded government projects. The six examined attributes—transparency, efficiency, compliance, integration, usability, and credibility—collectively explain 62.3% of the variance in financial management outcomes. System efficiency and credibility emerge as the most influential drivers, underscoring the importance of fast, accurate, and trustworthy financial processes in donor</w:t>
      </w:r>
      <w:r w:rsidRPr="00613CA9">
        <w:rPr>
          <w:rFonts w:cs="Times New Roman"/>
          <w:szCs w:val="24"/>
        </w:rPr>
        <w:noBreakHyphen/>
        <w:t>funded contexts.</w:t>
      </w:r>
    </w:p>
    <w:p w14:paraId="625E3A81"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lastRenderedPageBreak/>
        <w:t>Despite substantial progress, persistent challenges in system integration (parallel records) and usability (technical support) remain barriers to realizing IBEX’s full potential. Addressing these gaps through targeted infrastructure investments, enhanced training, donor harmonization, and a continuous improvement culture will further strengthen Ethiopia’s PFM reform and serve as a model for other developing countries seeking to integrate aid into national financial systems.</w:t>
      </w:r>
    </w:p>
    <w:p w14:paraId="53F740B4" w14:textId="77777777" w:rsidR="00613CA9" w:rsidRPr="00613CA9" w:rsidRDefault="00613CA9" w:rsidP="00613CA9">
      <w:pPr>
        <w:spacing w:before="120" w:after="120" w:line="360" w:lineRule="auto"/>
        <w:jc w:val="both"/>
        <w:rPr>
          <w:rFonts w:cs="Times New Roman"/>
          <w:szCs w:val="24"/>
        </w:rPr>
      </w:pPr>
      <w:r w:rsidRPr="00613CA9">
        <w:pict w14:anchorId="0372EFA1">
          <v:rect id="_x0000_i1080" style="width:0;height:.75pt" o:hralign="center" o:hrstd="t" o:hr="t" fillcolor="#a0a0a0" stroked="f"/>
        </w:pict>
      </w:r>
    </w:p>
    <w:p w14:paraId="4F7A0B10" w14:textId="689B9757" w:rsidR="00613CA9" w:rsidRPr="00613CA9" w:rsidRDefault="00613CA9" w:rsidP="00613CA9">
      <w:pPr>
        <w:spacing w:before="120" w:after="120" w:line="360" w:lineRule="auto"/>
        <w:jc w:val="both"/>
        <w:rPr>
          <w:rFonts w:cs="Times New Roman"/>
          <w:b/>
          <w:bCs/>
          <w:szCs w:val="24"/>
        </w:rPr>
      </w:pPr>
      <w:r w:rsidRPr="00613CA9">
        <w:rPr>
          <w:rFonts w:cs="Times New Roman"/>
          <w:b/>
          <w:bCs/>
          <w:szCs w:val="24"/>
        </w:rPr>
        <w:t xml:space="preserve">References </w:t>
      </w:r>
    </w:p>
    <w:p w14:paraId="18073E34"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AfDB. (2022). </w:t>
      </w:r>
      <w:r w:rsidRPr="00613CA9">
        <w:rPr>
          <w:rFonts w:cs="Times New Roman"/>
          <w:i/>
          <w:iCs/>
          <w:szCs w:val="24"/>
        </w:rPr>
        <w:t>Ethiopia Country Strategy Paper 2022–2026.</w:t>
      </w:r>
      <w:r w:rsidRPr="00613CA9">
        <w:rPr>
          <w:rFonts w:cs="Times New Roman"/>
          <w:szCs w:val="24"/>
        </w:rPr>
        <w:t> Abidjan: African Development Bank.</w:t>
      </w:r>
    </w:p>
    <w:p w14:paraId="68EA1F1D" w14:textId="77EF89A6" w:rsidR="00613CA9" w:rsidRPr="00613CA9" w:rsidRDefault="00613CA9" w:rsidP="00613CA9">
      <w:pPr>
        <w:spacing w:before="120" w:after="120" w:line="360" w:lineRule="auto"/>
        <w:jc w:val="both"/>
        <w:rPr>
          <w:rFonts w:cs="Times New Roman"/>
          <w:szCs w:val="24"/>
        </w:rPr>
      </w:pPr>
      <w:proofErr w:type="spellStart"/>
      <w:r w:rsidRPr="00613CA9">
        <w:rPr>
          <w:rFonts w:cs="Times New Roman"/>
          <w:szCs w:val="24"/>
        </w:rPr>
        <w:t>Chalu</w:t>
      </w:r>
      <w:proofErr w:type="spellEnd"/>
      <w:r w:rsidRPr="00613CA9">
        <w:rPr>
          <w:rFonts w:cs="Times New Roman"/>
          <w:szCs w:val="24"/>
        </w:rPr>
        <w:t>, H. (2019). The effect of adoption of IFMIS on financial reporting in Tanzanian local</w:t>
      </w:r>
      <w:r>
        <w:rPr>
          <w:rFonts w:cs="Times New Roman"/>
          <w:szCs w:val="24"/>
        </w:rPr>
        <w:tab/>
      </w:r>
      <w:r w:rsidRPr="00613CA9">
        <w:rPr>
          <w:rFonts w:cs="Times New Roman"/>
          <w:szCs w:val="24"/>
        </w:rPr>
        <w:t>government authorities. </w:t>
      </w:r>
      <w:r w:rsidRPr="00613CA9">
        <w:rPr>
          <w:rFonts w:cs="Times New Roman"/>
          <w:i/>
          <w:iCs/>
          <w:szCs w:val="24"/>
        </w:rPr>
        <w:t>Journal of Financial Reporting &amp; Accounting</w:t>
      </w:r>
      <w:r w:rsidRPr="00613CA9">
        <w:rPr>
          <w:rFonts w:cs="Times New Roman"/>
          <w:szCs w:val="24"/>
        </w:rPr>
        <w:t>, 17(3), 456–478.</w:t>
      </w:r>
    </w:p>
    <w:p w14:paraId="78B88DA6" w14:textId="4ECADB76" w:rsidR="00613CA9" w:rsidRPr="00613CA9" w:rsidRDefault="00613CA9" w:rsidP="00613CA9">
      <w:pPr>
        <w:spacing w:before="120" w:after="120" w:line="360" w:lineRule="auto"/>
        <w:jc w:val="both"/>
        <w:rPr>
          <w:rFonts w:cs="Times New Roman"/>
          <w:szCs w:val="24"/>
        </w:rPr>
      </w:pPr>
      <w:r w:rsidRPr="00613CA9">
        <w:rPr>
          <w:rFonts w:cs="Times New Roman"/>
          <w:szCs w:val="24"/>
        </w:rPr>
        <w:t xml:space="preserve">Davis, J. H., </w:t>
      </w:r>
      <w:proofErr w:type="spellStart"/>
      <w:r w:rsidRPr="00613CA9">
        <w:rPr>
          <w:rFonts w:cs="Times New Roman"/>
          <w:szCs w:val="24"/>
        </w:rPr>
        <w:t>Schoorman</w:t>
      </w:r>
      <w:proofErr w:type="spellEnd"/>
      <w:r w:rsidRPr="00613CA9">
        <w:rPr>
          <w:rFonts w:cs="Times New Roman"/>
          <w:szCs w:val="24"/>
        </w:rPr>
        <w:t>, F. D., &amp; Donaldson, L. (1997). Toward a stewardship theory of</w:t>
      </w:r>
      <w:r>
        <w:rPr>
          <w:rFonts w:cs="Times New Roman"/>
          <w:szCs w:val="24"/>
        </w:rPr>
        <w:tab/>
      </w:r>
      <w:r w:rsidRPr="00613CA9">
        <w:rPr>
          <w:rFonts w:cs="Times New Roman"/>
          <w:szCs w:val="24"/>
        </w:rPr>
        <w:t>management. </w:t>
      </w:r>
      <w:r w:rsidRPr="00613CA9">
        <w:rPr>
          <w:rFonts w:cs="Times New Roman"/>
          <w:i/>
          <w:iCs/>
          <w:szCs w:val="24"/>
        </w:rPr>
        <w:t>Academy of Management Review</w:t>
      </w:r>
      <w:r w:rsidRPr="00613CA9">
        <w:rPr>
          <w:rFonts w:cs="Times New Roman"/>
          <w:szCs w:val="24"/>
        </w:rPr>
        <w:t>, 22(1), 20–47.</w:t>
      </w:r>
    </w:p>
    <w:p w14:paraId="5B1F0BA5" w14:textId="017302CE" w:rsidR="00613CA9" w:rsidRPr="00613CA9" w:rsidRDefault="00613CA9" w:rsidP="00613CA9">
      <w:pPr>
        <w:spacing w:before="120" w:after="120" w:line="360" w:lineRule="auto"/>
        <w:jc w:val="both"/>
        <w:rPr>
          <w:rFonts w:cs="Times New Roman"/>
          <w:szCs w:val="24"/>
        </w:rPr>
      </w:pPr>
      <w:r w:rsidRPr="00613CA9">
        <w:rPr>
          <w:rFonts w:cs="Times New Roman"/>
          <w:szCs w:val="24"/>
        </w:rPr>
        <w:t xml:space="preserve">de </w:t>
      </w:r>
      <w:proofErr w:type="spellStart"/>
      <w:r w:rsidRPr="00613CA9">
        <w:rPr>
          <w:rFonts w:cs="Times New Roman"/>
          <w:szCs w:val="24"/>
        </w:rPr>
        <w:t>Renzio</w:t>
      </w:r>
      <w:proofErr w:type="spellEnd"/>
      <w:r w:rsidRPr="00613CA9">
        <w:rPr>
          <w:rFonts w:cs="Times New Roman"/>
          <w:szCs w:val="24"/>
        </w:rPr>
        <w:t>, P., Andrews, M., &amp; Mills, Z. (2010). Does donor aid harm public financial</w:t>
      </w:r>
      <w:r>
        <w:rPr>
          <w:rFonts w:cs="Times New Roman"/>
          <w:szCs w:val="24"/>
        </w:rPr>
        <w:tab/>
      </w:r>
      <w:r w:rsidRPr="00613CA9">
        <w:rPr>
          <w:rFonts w:cs="Times New Roman"/>
          <w:szCs w:val="24"/>
        </w:rPr>
        <w:t>management? </w:t>
      </w:r>
      <w:r w:rsidRPr="00613CA9">
        <w:rPr>
          <w:rFonts w:cs="Times New Roman"/>
          <w:i/>
          <w:iCs/>
          <w:szCs w:val="24"/>
        </w:rPr>
        <w:t>World Development</w:t>
      </w:r>
      <w:r w:rsidRPr="00613CA9">
        <w:rPr>
          <w:rFonts w:cs="Times New Roman"/>
          <w:szCs w:val="24"/>
        </w:rPr>
        <w:t>, 38(4), 542–553.</w:t>
      </w:r>
    </w:p>
    <w:p w14:paraId="510E99F9" w14:textId="78E9E70E" w:rsidR="00613CA9" w:rsidRPr="00613CA9" w:rsidRDefault="00613CA9" w:rsidP="00613CA9">
      <w:pPr>
        <w:spacing w:before="120" w:after="120" w:line="360" w:lineRule="auto"/>
        <w:jc w:val="both"/>
        <w:rPr>
          <w:rFonts w:cs="Times New Roman"/>
          <w:szCs w:val="24"/>
        </w:rPr>
      </w:pPr>
      <w:r w:rsidRPr="00613CA9">
        <w:rPr>
          <w:rFonts w:cs="Times New Roman"/>
          <w:szCs w:val="24"/>
        </w:rPr>
        <w:t>EEAS. (2025). </w:t>
      </w:r>
      <w:r w:rsidRPr="00613CA9">
        <w:rPr>
          <w:rFonts w:cs="Times New Roman"/>
          <w:i/>
          <w:iCs/>
          <w:szCs w:val="24"/>
        </w:rPr>
        <w:t>EU Support to PFM Reform in Ethiopia.</w:t>
      </w:r>
      <w:r w:rsidRPr="00613CA9">
        <w:rPr>
          <w:rFonts w:cs="Times New Roman"/>
          <w:szCs w:val="24"/>
        </w:rPr>
        <w:t> Brussels: European External Action</w:t>
      </w:r>
      <w:r>
        <w:rPr>
          <w:rFonts w:cs="Times New Roman"/>
          <w:szCs w:val="24"/>
        </w:rPr>
        <w:tab/>
      </w:r>
      <w:r w:rsidRPr="00613CA9">
        <w:rPr>
          <w:rFonts w:cs="Times New Roman"/>
          <w:szCs w:val="24"/>
        </w:rPr>
        <w:t>Service.</w:t>
      </w:r>
    </w:p>
    <w:p w14:paraId="3835C7EA" w14:textId="2468D8F2" w:rsidR="00613CA9" w:rsidRPr="00613CA9" w:rsidRDefault="00613CA9" w:rsidP="00613CA9">
      <w:pPr>
        <w:spacing w:before="120" w:after="120" w:line="360" w:lineRule="auto"/>
        <w:jc w:val="both"/>
        <w:rPr>
          <w:rFonts w:cs="Times New Roman"/>
          <w:szCs w:val="24"/>
        </w:rPr>
      </w:pPr>
      <w:r w:rsidRPr="00613CA9">
        <w:rPr>
          <w:rFonts w:cs="Times New Roman"/>
          <w:szCs w:val="24"/>
        </w:rPr>
        <w:t>Gebremedhin, K., &amp; Mulugeta, S. (2025). IFMIS implementation and financial management</w:t>
      </w:r>
      <w:r>
        <w:rPr>
          <w:rFonts w:cs="Times New Roman"/>
          <w:szCs w:val="24"/>
        </w:rPr>
        <w:tab/>
      </w:r>
      <w:r w:rsidRPr="00613CA9">
        <w:rPr>
          <w:rFonts w:cs="Times New Roman"/>
          <w:szCs w:val="24"/>
        </w:rPr>
        <w:t>outcomes in Ethiopia. </w:t>
      </w:r>
      <w:r w:rsidRPr="00613CA9">
        <w:rPr>
          <w:rFonts w:cs="Times New Roman"/>
          <w:i/>
          <w:iCs/>
          <w:szCs w:val="24"/>
        </w:rPr>
        <w:t>Ethiopian Journal of Accounting and Finance</w:t>
      </w:r>
      <w:r w:rsidRPr="00613CA9">
        <w:rPr>
          <w:rFonts w:cs="Times New Roman"/>
          <w:szCs w:val="24"/>
        </w:rPr>
        <w:t>, 8(1), 78–102.</w:t>
      </w:r>
    </w:p>
    <w:p w14:paraId="0243296A" w14:textId="684A6AA0" w:rsidR="00613CA9" w:rsidRPr="00613CA9" w:rsidRDefault="00613CA9" w:rsidP="00613CA9">
      <w:pPr>
        <w:spacing w:before="120" w:after="120" w:line="360" w:lineRule="auto"/>
        <w:jc w:val="both"/>
        <w:rPr>
          <w:rFonts w:cs="Times New Roman"/>
          <w:szCs w:val="24"/>
        </w:rPr>
      </w:pPr>
      <w:r w:rsidRPr="00613CA9">
        <w:rPr>
          <w:rFonts w:cs="Times New Roman"/>
          <w:szCs w:val="24"/>
        </w:rPr>
        <w:t>Haile, T. (2025). Factors affecting IFMIS performance in the Ministry of Finance, Ethiopia. </w:t>
      </w:r>
      <w:r w:rsidRPr="00613CA9">
        <w:rPr>
          <w:rFonts w:cs="Times New Roman"/>
          <w:i/>
          <w:iCs/>
          <w:szCs w:val="24"/>
        </w:rPr>
        <w:t>Public</w:t>
      </w:r>
      <w:r>
        <w:rPr>
          <w:rFonts w:cs="Times New Roman"/>
          <w:i/>
          <w:iCs/>
          <w:szCs w:val="24"/>
        </w:rPr>
        <w:tab/>
      </w:r>
      <w:r w:rsidRPr="00613CA9">
        <w:rPr>
          <w:rFonts w:cs="Times New Roman"/>
          <w:i/>
          <w:iCs/>
          <w:szCs w:val="24"/>
        </w:rPr>
        <w:t>Sector Management Review</w:t>
      </w:r>
      <w:r w:rsidRPr="00613CA9">
        <w:rPr>
          <w:rFonts w:cs="Times New Roman"/>
          <w:szCs w:val="24"/>
        </w:rPr>
        <w:t>, 12(2), 34–51.</w:t>
      </w:r>
    </w:p>
    <w:p w14:paraId="65986CF8" w14:textId="59E6BBA1" w:rsidR="00613CA9" w:rsidRPr="00613CA9" w:rsidRDefault="00613CA9" w:rsidP="00613CA9">
      <w:pPr>
        <w:spacing w:before="120" w:after="120" w:line="360" w:lineRule="auto"/>
        <w:jc w:val="both"/>
        <w:rPr>
          <w:rFonts w:cs="Times New Roman"/>
          <w:szCs w:val="24"/>
        </w:rPr>
      </w:pPr>
      <w:r w:rsidRPr="00613CA9">
        <w:rPr>
          <w:rFonts w:cs="Times New Roman"/>
          <w:szCs w:val="24"/>
        </w:rPr>
        <w:t>Jensen, M. C., &amp; Meckling, W. H. (1976). Theory of the firm: Managerial behavior, agency costs</w:t>
      </w:r>
      <w:r>
        <w:rPr>
          <w:rFonts w:cs="Times New Roman"/>
          <w:szCs w:val="24"/>
        </w:rPr>
        <w:tab/>
      </w:r>
      <w:r w:rsidRPr="00613CA9">
        <w:rPr>
          <w:rFonts w:cs="Times New Roman"/>
          <w:szCs w:val="24"/>
        </w:rPr>
        <w:t>and ownership structure. </w:t>
      </w:r>
      <w:r w:rsidRPr="00613CA9">
        <w:rPr>
          <w:rFonts w:cs="Times New Roman"/>
          <w:i/>
          <w:iCs/>
          <w:szCs w:val="24"/>
        </w:rPr>
        <w:t>Journal of Financial Economics</w:t>
      </w:r>
      <w:r w:rsidRPr="00613CA9">
        <w:rPr>
          <w:rFonts w:cs="Times New Roman"/>
          <w:szCs w:val="24"/>
        </w:rPr>
        <w:t>, 3(4), 305–360.</w:t>
      </w:r>
    </w:p>
    <w:p w14:paraId="23995F68" w14:textId="6C2EBB65" w:rsidR="00613CA9" w:rsidRPr="00613CA9" w:rsidRDefault="00613CA9" w:rsidP="00613CA9">
      <w:pPr>
        <w:spacing w:before="120" w:after="120" w:line="360" w:lineRule="auto"/>
        <w:jc w:val="both"/>
        <w:rPr>
          <w:rFonts w:cs="Times New Roman"/>
          <w:szCs w:val="24"/>
        </w:rPr>
      </w:pPr>
      <w:r w:rsidRPr="00613CA9">
        <w:rPr>
          <w:rFonts w:cs="Times New Roman"/>
          <w:szCs w:val="24"/>
        </w:rPr>
        <w:t>Kinyua, J. (2003). </w:t>
      </w:r>
      <w:r w:rsidRPr="00613CA9">
        <w:rPr>
          <w:rFonts w:cs="Times New Roman"/>
          <w:i/>
          <w:iCs/>
          <w:szCs w:val="24"/>
        </w:rPr>
        <w:t>IFMIS in Kenya: Implementation challenges.</w:t>
      </w:r>
      <w:r w:rsidRPr="00613CA9">
        <w:rPr>
          <w:rFonts w:cs="Times New Roman"/>
          <w:szCs w:val="24"/>
        </w:rPr>
        <w:t> Nairobi: Kenya Institute of Public</w:t>
      </w:r>
      <w:r>
        <w:rPr>
          <w:rFonts w:cs="Times New Roman"/>
          <w:szCs w:val="24"/>
        </w:rPr>
        <w:tab/>
      </w:r>
      <w:r w:rsidRPr="00613CA9">
        <w:rPr>
          <w:rFonts w:cs="Times New Roman"/>
          <w:szCs w:val="24"/>
        </w:rPr>
        <w:t>Policy.</w:t>
      </w:r>
    </w:p>
    <w:p w14:paraId="4DEDE62F" w14:textId="15140875" w:rsidR="00613CA9" w:rsidRPr="00613CA9" w:rsidRDefault="00613CA9" w:rsidP="00613CA9">
      <w:pPr>
        <w:spacing w:before="120" w:after="120" w:line="360" w:lineRule="auto"/>
        <w:jc w:val="both"/>
        <w:rPr>
          <w:rFonts w:cs="Times New Roman"/>
          <w:szCs w:val="24"/>
        </w:rPr>
      </w:pPr>
      <w:proofErr w:type="spellStart"/>
      <w:r w:rsidRPr="00613CA9">
        <w:rPr>
          <w:rFonts w:cs="Times New Roman"/>
          <w:szCs w:val="24"/>
        </w:rPr>
        <w:t>Mlawasi</w:t>
      </w:r>
      <w:proofErr w:type="spellEnd"/>
      <w:r w:rsidRPr="00613CA9">
        <w:rPr>
          <w:rFonts w:cs="Times New Roman"/>
          <w:szCs w:val="24"/>
        </w:rPr>
        <w:t>, F. (2025). County-level IFMIS implementation and financial governance in</w:t>
      </w:r>
      <w:r>
        <w:rPr>
          <w:rFonts w:cs="Times New Roman"/>
          <w:szCs w:val="24"/>
        </w:rPr>
        <w:tab/>
      </w:r>
      <w:r w:rsidRPr="00613CA9">
        <w:rPr>
          <w:rFonts w:cs="Times New Roman"/>
          <w:szCs w:val="24"/>
        </w:rPr>
        <w:t>Kenya. </w:t>
      </w:r>
      <w:r w:rsidRPr="00613CA9">
        <w:rPr>
          <w:rFonts w:cs="Times New Roman"/>
          <w:i/>
          <w:iCs/>
          <w:szCs w:val="24"/>
        </w:rPr>
        <w:t>African Journal of Public Sector Management</w:t>
      </w:r>
      <w:r w:rsidRPr="00613CA9">
        <w:rPr>
          <w:rFonts w:cs="Times New Roman"/>
          <w:szCs w:val="24"/>
        </w:rPr>
        <w:t>, 9(2), 112–134.</w:t>
      </w:r>
    </w:p>
    <w:p w14:paraId="3AA464E7" w14:textId="44551A88" w:rsidR="00613CA9" w:rsidRPr="00613CA9" w:rsidRDefault="00613CA9" w:rsidP="00613CA9">
      <w:pPr>
        <w:spacing w:before="120" w:after="120" w:line="360" w:lineRule="auto"/>
        <w:jc w:val="both"/>
        <w:rPr>
          <w:rFonts w:cs="Times New Roman"/>
          <w:szCs w:val="24"/>
        </w:rPr>
      </w:pPr>
      <w:r w:rsidRPr="00613CA9">
        <w:rPr>
          <w:rFonts w:cs="Times New Roman"/>
          <w:szCs w:val="24"/>
        </w:rPr>
        <w:lastRenderedPageBreak/>
        <w:t>MoF. (2023). </w:t>
      </w:r>
      <w:r w:rsidRPr="00613CA9">
        <w:rPr>
          <w:rFonts w:cs="Times New Roman"/>
          <w:i/>
          <w:iCs/>
          <w:szCs w:val="24"/>
        </w:rPr>
        <w:t>Public Financial Management Reform Strategy 2023–2028.</w:t>
      </w:r>
      <w:r w:rsidRPr="00613CA9">
        <w:rPr>
          <w:rFonts w:cs="Times New Roman"/>
          <w:szCs w:val="24"/>
        </w:rPr>
        <w:t> Addis Ababa: Ministry of</w:t>
      </w:r>
      <w:r>
        <w:rPr>
          <w:rFonts w:cs="Times New Roman"/>
          <w:szCs w:val="24"/>
        </w:rPr>
        <w:tab/>
      </w:r>
      <w:r w:rsidRPr="00613CA9">
        <w:rPr>
          <w:rFonts w:cs="Times New Roman"/>
          <w:szCs w:val="24"/>
        </w:rPr>
        <w:t>Finance, Ethiopia.</w:t>
      </w:r>
    </w:p>
    <w:p w14:paraId="4FBFC4DD" w14:textId="45F0FB6E" w:rsidR="00613CA9" w:rsidRPr="00613CA9" w:rsidRDefault="00613CA9" w:rsidP="00613CA9">
      <w:pPr>
        <w:spacing w:before="120" w:after="120" w:line="360" w:lineRule="auto"/>
        <w:jc w:val="both"/>
        <w:rPr>
          <w:rFonts w:cs="Times New Roman"/>
          <w:szCs w:val="24"/>
        </w:rPr>
      </w:pPr>
      <w:r w:rsidRPr="00613CA9">
        <w:rPr>
          <w:rFonts w:cs="Times New Roman"/>
          <w:szCs w:val="24"/>
        </w:rPr>
        <w:t>Mohammed, A. (2017). Ghana’s GIFMIS: Progress and challenges. </w:t>
      </w:r>
      <w:r w:rsidRPr="00613CA9">
        <w:rPr>
          <w:rFonts w:cs="Times New Roman"/>
          <w:i/>
          <w:iCs/>
          <w:szCs w:val="24"/>
        </w:rPr>
        <w:t>West African Journal of Public</w:t>
      </w:r>
      <w:r>
        <w:rPr>
          <w:rFonts w:cs="Times New Roman"/>
          <w:i/>
          <w:iCs/>
          <w:szCs w:val="24"/>
        </w:rPr>
        <w:tab/>
      </w:r>
      <w:r w:rsidRPr="00613CA9">
        <w:rPr>
          <w:rFonts w:cs="Times New Roman"/>
          <w:i/>
          <w:iCs/>
          <w:szCs w:val="24"/>
        </w:rPr>
        <w:t>Administration</w:t>
      </w:r>
      <w:r w:rsidRPr="00613CA9">
        <w:rPr>
          <w:rFonts w:cs="Times New Roman"/>
          <w:szCs w:val="24"/>
        </w:rPr>
        <w:t>, 5(1), 45–67.</w:t>
      </w:r>
    </w:p>
    <w:p w14:paraId="0AF02F0D" w14:textId="67462608" w:rsidR="00613CA9" w:rsidRPr="00613CA9" w:rsidRDefault="00613CA9" w:rsidP="00613CA9">
      <w:pPr>
        <w:spacing w:before="120" w:after="120" w:line="360" w:lineRule="auto"/>
        <w:jc w:val="both"/>
        <w:rPr>
          <w:rFonts w:cs="Times New Roman"/>
          <w:szCs w:val="24"/>
        </w:rPr>
      </w:pPr>
      <w:r w:rsidRPr="00613CA9">
        <w:rPr>
          <w:rFonts w:cs="Times New Roman"/>
          <w:szCs w:val="24"/>
        </w:rPr>
        <w:t>Nhial, S., Shiku, J., &amp; Siwale, J. (2025). IFMIS and internal audit functions in South Sudan. </w:t>
      </w:r>
      <w:r w:rsidRPr="00613CA9">
        <w:rPr>
          <w:rFonts w:cs="Times New Roman"/>
          <w:i/>
          <w:iCs/>
          <w:szCs w:val="24"/>
        </w:rPr>
        <w:t>East</w:t>
      </w:r>
      <w:r>
        <w:rPr>
          <w:rFonts w:cs="Times New Roman"/>
          <w:i/>
          <w:iCs/>
          <w:szCs w:val="24"/>
        </w:rPr>
        <w:tab/>
      </w:r>
      <w:r w:rsidRPr="00613CA9">
        <w:rPr>
          <w:rFonts w:cs="Times New Roman"/>
          <w:i/>
          <w:iCs/>
          <w:szCs w:val="24"/>
        </w:rPr>
        <w:t>African Journal of Business and Economics</w:t>
      </w:r>
      <w:r w:rsidRPr="00613CA9">
        <w:rPr>
          <w:rFonts w:cs="Times New Roman"/>
          <w:szCs w:val="24"/>
        </w:rPr>
        <w:t>, 7(1), 89–105.</w:t>
      </w:r>
    </w:p>
    <w:p w14:paraId="3B49B441" w14:textId="4249DF3C" w:rsidR="00613CA9" w:rsidRPr="00613CA9" w:rsidRDefault="00613CA9" w:rsidP="00613CA9">
      <w:pPr>
        <w:spacing w:before="120" w:after="120" w:line="360" w:lineRule="auto"/>
        <w:jc w:val="both"/>
        <w:rPr>
          <w:rFonts w:cs="Times New Roman"/>
          <w:szCs w:val="24"/>
        </w:rPr>
      </w:pPr>
      <w:r w:rsidRPr="00613CA9">
        <w:rPr>
          <w:rFonts w:cs="Times New Roman"/>
          <w:szCs w:val="24"/>
        </w:rPr>
        <w:t>OECD. (2011). </w:t>
      </w:r>
      <w:r w:rsidRPr="00613CA9">
        <w:rPr>
          <w:rFonts w:cs="Times New Roman"/>
          <w:i/>
          <w:iCs/>
          <w:szCs w:val="24"/>
        </w:rPr>
        <w:t>Busan Partnership for Effective Development Co</w:t>
      </w:r>
      <w:r w:rsidRPr="00613CA9">
        <w:rPr>
          <w:rFonts w:cs="Times New Roman"/>
          <w:i/>
          <w:iCs/>
          <w:szCs w:val="24"/>
        </w:rPr>
        <w:noBreakHyphen/>
        <w:t>operation.</w:t>
      </w:r>
      <w:r w:rsidRPr="00613CA9">
        <w:rPr>
          <w:rFonts w:cs="Times New Roman"/>
          <w:szCs w:val="24"/>
        </w:rPr>
        <w:t> Paris: OECD</w:t>
      </w:r>
      <w:r>
        <w:rPr>
          <w:rFonts w:cs="Times New Roman"/>
          <w:szCs w:val="24"/>
        </w:rPr>
        <w:tab/>
      </w:r>
      <w:r w:rsidRPr="00613CA9">
        <w:rPr>
          <w:rFonts w:cs="Times New Roman"/>
          <w:szCs w:val="24"/>
        </w:rPr>
        <w:t>Publishing.</w:t>
      </w:r>
    </w:p>
    <w:p w14:paraId="1594F3BD" w14:textId="77777777" w:rsidR="00613CA9" w:rsidRPr="00613CA9" w:rsidRDefault="00613CA9" w:rsidP="00613CA9">
      <w:pPr>
        <w:spacing w:before="120" w:after="120" w:line="360" w:lineRule="auto"/>
        <w:jc w:val="both"/>
        <w:rPr>
          <w:rFonts w:cs="Times New Roman"/>
          <w:szCs w:val="24"/>
        </w:rPr>
      </w:pPr>
      <w:r w:rsidRPr="00613CA9">
        <w:rPr>
          <w:rFonts w:cs="Times New Roman"/>
          <w:szCs w:val="24"/>
        </w:rPr>
        <w:t>Rogers, E. M. (2003). </w:t>
      </w:r>
      <w:r w:rsidRPr="00613CA9">
        <w:rPr>
          <w:rFonts w:cs="Times New Roman"/>
          <w:i/>
          <w:iCs/>
          <w:szCs w:val="24"/>
        </w:rPr>
        <w:t>Diffusion of innovations</w:t>
      </w:r>
      <w:r w:rsidRPr="00613CA9">
        <w:rPr>
          <w:rFonts w:cs="Times New Roman"/>
          <w:szCs w:val="24"/>
        </w:rPr>
        <w:t> (5th ed.). Free Press.</w:t>
      </w:r>
    </w:p>
    <w:p w14:paraId="0E575023" w14:textId="27F78180" w:rsidR="00613CA9" w:rsidRPr="00613CA9" w:rsidRDefault="00613CA9" w:rsidP="00613CA9">
      <w:pPr>
        <w:spacing w:before="120" w:after="120" w:line="360" w:lineRule="auto"/>
        <w:jc w:val="both"/>
        <w:rPr>
          <w:rFonts w:cs="Times New Roman"/>
          <w:szCs w:val="24"/>
        </w:rPr>
      </w:pPr>
      <w:r w:rsidRPr="00613CA9">
        <w:rPr>
          <w:rFonts w:cs="Times New Roman"/>
          <w:szCs w:val="24"/>
        </w:rPr>
        <w:t>Saunders, M., Lewis, P., &amp; Thornhill, A. (2019). </w:t>
      </w:r>
      <w:r w:rsidRPr="00613CA9">
        <w:rPr>
          <w:rFonts w:cs="Times New Roman"/>
          <w:i/>
          <w:iCs/>
          <w:szCs w:val="24"/>
        </w:rPr>
        <w:t>Research methods for business students</w:t>
      </w:r>
      <w:r w:rsidRPr="00613CA9">
        <w:rPr>
          <w:rFonts w:cs="Times New Roman"/>
          <w:szCs w:val="24"/>
        </w:rPr>
        <w:t> (8th ed.).</w:t>
      </w:r>
      <w:r>
        <w:rPr>
          <w:rFonts w:cs="Times New Roman"/>
          <w:szCs w:val="24"/>
        </w:rPr>
        <w:tab/>
      </w:r>
      <w:r w:rsidRPr="00613CA9">
        <w:rPr>
          <w:rFonts w:cs="Times New Roman"/>
          <w:szCs w:val="24"/>
        </w:rPr>
        <w:t>Pearson.</w:t>
      </w:r>
    </w:p>
    <w:p w14:paraId="46AA0437" w14:textId="0CEC20EB" w:rsidR="00613CA9" w:rsidRPr="00613CA9" w:rsidRDefault="00613CA9" w:rsidP="00613CA9">
      <w:pPr>
        <w:spacing w:before="120" w:after="120" w:line="360" w:lineRule="auto"/>
        <w:jc w:val="both"/>
        <w:rPr>
          <w:rFonts w:cs="Times New Roman"/>
          <w:szCs w:val="24"/>
        </w:rPr>
      </w:pPr>
      <w:proofErr w:type="spellStart"/>
      <w:r w:rsidRPr="00613CA9">
        <w:rPr>
          <w:rFonts w:cs="Times New Roman"/>
          <w:szCs w:val="24"/>
        </w:rPr>
        <w:t>Sikabanga</w:t>
      </w:r>
      <w:proofErr w:type="spellEnd"/>
      <w:r w:rsidRPr="00613CA9">
        <w:rPr>
          <w:rFonts w:cs="Times New Roman"/>
          <w:szCs w:val="24"/>
        </w:rPr>
        <w:t xml:space="preserve">, E., &amp; </w:t>
      </w:r>
      <w:proofErr w:type="spellStart"/>
      <w:r w:rsidRPr="00613CA9">
        <w:rPr>
          <w:rFonts w:cs="Times New Roman"/>
          <w:szCs w:val="24"/>
        </w:rPr>
        <w:t>Haabazoka</w:t>
      </w:r>
      <w:proofErr w:type="spellEnd"/>
      <w:r w:rsidRPr="00613CA9">
        <w:rPr>
          <w:rFonts w:cs="Times New Roman"/>
          <w:szCs w:val="24"/>
        </w:rPr>
        <w:t>, L. (2025). IFMIS impact on budget execution in Zambia. </w:t>
      </w:r>
      <w:r w:rsidRPr="00613CA9">
        <w:rPr>
          <w:rFonts w:cs="Times New Roman"/>
          <w:i/>
          <w:iCs/>
          <w:szCs w:val="24"/>
        </w:rPr>
        <w:t>Zambian</w:t>
      </w:r>
      <w:r>
        <w:rPr>
          <w:rFonts w:cs="Times New Roman"/>
          <w:i/>
          <w:iCs/>
          <w:szCs w:val="24"/>
        </w:rPr>
        <w:tab/>
      </w:r>
      <w:r w:rsidRPr="00613CA9">
        <w:rPr>
          <w:rFonts w:cs="Times New Roman"/>
          <w:i/>
          <w:iCs/>
          <w:szCs w:val="24"/>
        </w:rPr>
        <w:t>Journal of Economics and Finance</w:t>
      </w:r>
      <w:r w:rsidRPr="00613CA9">
        <w:rPr>
          <w:rFonts w:cs="Times New Roman"/>
          <w:szCs w:val="24"/>
        </w:rPr>
        <w:t>, 4(1), 55–73.</w:t>
      </w:r>
    </w:p>
    <w:p w14:paraId="03707FFC" w14:textId="6FAA2BC5" w:rsidR="00613CA9" w:rsidRPr="00613CA9" w:rsidRDefault="00613CA9" w:rsidP="00613CA9">
      <w:pPr>
        <w:spacing w:before="120" w:after="120" w:line="360" w:lineRule="auto"/>
        <w:jc w:val="both"/>
        <w:rPr>
          <w:rFonts w:cs="Times New Roman"/>
          <w:szCs w:val="24"/>
        </w:rPr>
      </w:pPr>
      <w:r w:rsidRPr="00613CA9">
        <w:rPr>
          <w:rFonts w:cs="Times New Roman"/>
          <w:szCs w:val="24"/>
        </w:rPr>
        <w:t>Tornatzky, L. G., &amp; Fleischer, M. (1990). </w:t>
      </w:r>
      <w:r w:rsidRPr="00613CA9">
        <w:rPr>
          <w:rFonts w:cs="Times New Roman"/>
          <w:i/>
          <w:iCs/>
          <w:szCs w:val="24"/>
        </w:rPr>
        <w:t>The processes of technological innovation.</w:t>
      </w:r>
      <w:r w:rsidRPr="00613CA9">
        <w:rPr>
          <w:rFonts w:cs="Times New Roman"/>
          <w:szCs w:val="24"/>
        </w:rPr>
        <w:t> Lexington</w:t>
      </w:r>
      <w:r>
        <w:rPr>
          <w:rFonts w:cs="Times New Roman"/>
          <w:szCs w:val="24"/>
        </w:rPr>
        <w:tab/>
      </w:r>
      <w:r w:rsidRPr="00613CA9">
        <w:rPr>
          <w:rFonts w:cs="Times New Roman"/>
          <w:szCs w:val="24"/>
        </w:rPr>
        <w:t>Books.</w:t>
      </w:r>
    </w:p>
    <w:p w14:paraId="150075D3" w14:textId="7B86D6C4" w:rsidR="00C6632E" w:rsidRPr="00613CA9" w:rsidRDefault="00C6632E" w:rsidP="00613CA9">
      <w:pPr>
        <w:spacing w:before="120" w:after="120" w:line="360" w:lineRule="auto"/>
        <w:jc w:val="both"/>
        <w:rPr>
          <w:rFonts w:cs="Times New Roman"/>
          <w:szCs w:val="24"/>
          <w:lang w:val="en-US"/>
        </w:rPr>
      </w:pPr>
    </w:p>
    <w:sectPr w:rsidR="00C6632E" w:rsidRPr="00613CA9" w:rsidSect="00613CA9">
      <w:pgSz w:w="12240" w:h="15840"/>
      <w:pgMar w:top="1440" w:right="900"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168F1"/>
    <w:multiLevelType w:val="multilevel"/>
    <w:tmpl w:val="1009001D"/>
    <w:styleLink w:val="Style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8823126"/>
    <w:multiLevelType w:val="hybridMultilevel"/>
    <w:tmpl w:val="7BC01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40554DE"/>
    <w:multiLevelType w:val="multilevel"/>
    <w:tmpl w:val="2FF6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F31DC"/>
    <w:multiLevelType w:val="multilevel"/>
    <w:tmpl w:val="FF5C0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A04528"/>
    <w:multiLevelType w:val="multilevel"/>
    <w:tmpl w:val="8038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F6423"/>
    <w:multiLevelType w:val="multilevel"/>
    <w:tmpl w:val="1009001D"/>
    <w:styleLink w:val="Style3"/>
    <w:lvl w:ilvl="0">
      <w:start w:val="1"/>
      <w:numFmt w:val="decimal"/>
      <w:lvlText w:val="%1)"/>
      <w:lvlJc w:val="left"/>
      <w:pPr>
        <w:ind w:left="108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B152E5C"/>
    <w:multiLevelType w:val="hybridMultilevel"/>
    <w:tmpl w:val="254E99B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0616FD8"/>
    <w:multiLevelType w:val="hybridMultilevel"/>
    <w:tmpl w:val="E6BAF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1BD0D68"/>
    <w:multiLevelType w:val="multilevel"/>
    <w:tmpl w:val="0BF8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5C667B"/>
    <w:multiLevelType w:val="multilevel"/>
    <w:tmpl w:val="E1D8CA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0A575D"/>
    <w:multiLevelType w:val="multilevel"/>
    <w:tmpl w:val="99E69666"/>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673407E8"/>
    <w:multiLevelType w:val="multilevel"/>
    <w:tmpl w:val="5162A39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B13783"/>
    <w:multiLevelType w:val="multilevel"/>
    <w:tmpl w:val="D80A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13EFA"/>
    <w:multiLevelType w:val="multilevel"/>
    <w:tmpl w:val="57FA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462A3E"/>
    <w:multiLevelType w:val="multilevel"/>
    <w:tmpl w:val="72B2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209363">
    <w:abstractNumId w:val="0"/>
  </w:num>
  <w:num w:numId="2" w16cid:durableId="2044472746">
    <w:abstractNumId w:val="5"/>
  </w:num>
  <w:num w:numId="3" w16cid:durableId="28537055">
    <w:abstractNumId w:val="4"/>
  </w:num>
  <w:num w:numId="4" w16cid:durableId="128280440">
    <w:abstractNumId w:val="12"/>
  </w:num>
  <w:num w:numId="5" w16cid:durableId="130639217">
    <w:abstractNumId w:val="3"/>
  </w:num>
  <w:num w:numId="6" w16cid:durableId="683897565">
    <w:abstractNumId w:val="14"/>
  </w:num>
  <w:num w:numId="7" w16cid:durableId="1822504459">
    <w:abstractNumId w:val="8"/>
  </w:num>
  <w:num w:numId="8" w16cid:durableId="808404644">
    <w:abstractNumId w:val="13"/>
  </w:num>
  <w:num w:numId="9" w16cid:durableId="1481001137">
    <w:abstractNumId w:val="2"/>
  </w:num>
  <w:num w:numId="10" w16cid:durableId="379863352">
    <w:abstractNumId w:val="7"/>
  </w:num>
  <w:num w:numId="11" w16cid:durableId="2073891443">
    <w:abstractNumId w:val="9"/>
  </w:num>
  <w:num w:numId="12" w16cid:durableId="1752854446">
    <w:abstractNumId w:val="1"/>
  </w:num>
  <w:num w:numId="13" w16cid:durableId="951321546">
    <w:abstractNumId w:val="6"/>
  </w:num>
  <w:num w:numId="14" w16cid:durableId="684215527">
    <w:abstractNumId w:val="10"/>
  </w:num>
  <w:num w:numId="15" w16cid:durableId="20612427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A9"/>
    <w:rsid w:val="001F62C8"/>
    <w:rsid w:val="00613CA9"/>
    <w:rsid w:val="008515A9"/>
    <w:rsid w:val="008B6EF4"/>
    <w:rsid w:val="00931E29"/>
    <w:rsid w:val="00AE463B"/>
    <w:rsid w:val="00C6632E"/>
    <w:rsid w:val="00ED05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86E9"/>
  <w15:chartTrackingRefBased/>
  <w15:docId w15:val="{A5A330C7-521A-4105-B8FF-04F897E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CA"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0" w:after="160" w:line="259" w:lineRule="auto"/>
      <w:jc w:val="left"/>
    </w:pPr>
  </w:style>
  <w:style w:type="paragraph" w:styleId="Heading1">
    <w:name w:val="heading 1"/>
    <w:basedOn w:val="Normal"/>
    <w:next w:val="Normal"/>
    <w:link w:val="Heading1Char"/>
    <w:uiPriority w:val="9"/>
    <w:qFormat/>
    <w:rsid w:val="00613C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3C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3CA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CA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3CA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13C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3C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3C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3C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2">
    <w:name w:val="Style2"/>
    <w:uiPriority w:val="99"/>
    <w:rsid w:val="008B6EF4"/>
    <w:pPr>
      <w:numPr>
        <w:numId w:val="1"/>
      </w:numPr>
    </w:pPr>
  </w:style>
  <w:style w:type="numbering" w:customStyle="1" w:styleId="Style3">
    <w:name w:val="Style3"/>
    <w:uiPriority w:val="99"/>
    <w:rsid w:val="008B6EF4"/>
    <w:pPr>
      <w:numPr>
        <w:numId w:val="2"/>
      </w:numPr>
    </w:pPr>
  </w:style>
  <w:style w:type="character" w:customStyle="1" w:styleId="Heading1Char">
    <w:name w:val="Heading 1 Char"/>
    <w:basedOn w:val="DefaultParagraphFont"/>
    <w:link w:val="Heading1"/>
    <w:uiPriority w:val="9"/>
    <w:rsid w:val="00613C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3C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3CA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CA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13CA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13CA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13CA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13CA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13CA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13C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C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CA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CA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13CA9"/>
    <w:pPr>
      <w:spacing w:before="160"/>
      <w:jc w:val="center"/>
    </w:pPr>
    <w:rPr>
      <w:i/>
      <w:iCs/>
      <w:color w:val="404040" w:themeColor="text1" w:themeTint="BF"/>
    </w:rPr>
  </w:style>
  <w:style w:type="character" w:customStyle="1" w:styleId="QuoteChar">
    <w:name w:val="Quote Char"/>
    <w:basedOn w:val="DefaultParagraphFont"/>
    <w:link w:val="Quote"/>
    <w:uiPriority w:val="29"/>
    <w:rsid w:val="00613CA9"/>
    <w:rPr>
      <w:i/>
      <w:iCs/>
      <w:color w:val="404040" w:themeColor="text1" w:themeTint="BF"/>
    </w:rPr>
  </w:style>
  <w:style w:type="paragraph" w:styleId="ListParagraph">
    <w:name w:val="List Paragraph"/>
    <w:basedOn w:val="Normal"/>
    <w:link w:val="ListParagraphChar"/>
    <w:uiPriority w:val="34"/>
    <w:qFormat/>
    <w:rsid w:val="00613CA9"/>
    <w:pPr>
      <w:ind w:left="720"/>
      <w:contextualSpacing/>
    </w:pPr>
  </w:style>
  <w:style w:type="character" w:styleId="IntenseEmphasis">
    <w:name w:val="Intense Emphasis"/>
    <w:basedOn w:val="DefaultParagraphFont"/>
    <w:uiPriority w:val="21"/>
    <w:qFormat/>
    <w:rsid w:val="00613CA9"/>
    <w:rPr>
      <w:i/>
      <w:iCs/>
      <w:color w:val="2F5496" w:themeColor="accent1" w:themeShade="BF"/>
    </w:rPr>
  </w:style>
  <w:style w:type="paragraph" w:styleId="IntenseQuote">
    <w:name w:val="Intense Quote"/>
    <w:basedOn w:val="Normal"/>
    <w:next w:val="Normal"/>
    <w:link w:val="IntenseQuoteChar"/>
    <w:uiPriority w:val="30"/>
    <w:qFormat/>
    <w:rsid w:val="00613C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CA9"/>
    <w:rPr>
      <w:i/>
      <w:iCs/>
      <w:color w:val="2F5496" w:themeColor="accent1" w:themeShade="BF"/>
    </w:rPr>
  </w:style>
  <w:style w:type="character" w:styleId="IntenseReference">
    <w:name w:val="Intense Reference"/>
    <w:basedOn w:val="DefaultParagraphFont"/>
    <w:uiPriority w:val="32"/>
    <w:qFormat/>
    <w:rsid w:val="00613CA9"/>
    <w:rPr>
      <w:b/>
      <w:bCs/>
      <w:smallCaps/>
      <w:color w:val="2F5496" w:themeColor="accent1" w:themeShade="BF"/>
      <w:spacing w:val="5"/>
    </w:rPr>
  </w:style>
  <w:style w:type="character" w:customStyle="1" w:styleId="ListParagraphChar">
    <w:name w:val="List Paragraph Char"/>
    <w:basedOn w:val="DefaultParagraphFont"/>
    <w:link w:val="ListParagraph"/>
    <w:uiPriority w:val="34"/>
    <w:rsid w:val="00613CA9"/>
  </w:style>
  <w:style w:type="table" w:customStyle="1" w:styleId="TableGridLight1">
    <w:name w:val="Table Grid Light1"/>
    <w:basedOn w:val="TableNormal"/>
    <w:uiPriority w:val="40"/>
    <w:rsid w:val="00613C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4686</Words>
  <Characters>26711</Characters>
  <Application>Microsoft Office Word</Application>
  <DocSecurity>0</DocSecurity>
  <Lines>222</Lines>
  <Paragraphs>62</Paragraphs>
  <ScaleCrop>false</ScaleCrop>
  <Company/>
  <LinksUpToDate>false</LinksUpToDate>
  <CharactersWithSpaces>31335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 Seyoum</dc:creator>
  <cp:keywords/>
  <dc:description/>
  <cp:lastModifiedBy>Alex M. Seyoum</cp:lastModifiedBy>
  <cp:revision>1</cp:revision>
  <dcterms:created xsi:type="dcterms:W3CDTF">2026-06-13T08:59:00Z</dcterms:created>
  <dcterms:modified xsi:type="dcterms:W3CDTF">2026-06-13T09:12:00Z</dcterms:modified>
</cp:coreProperties>
</file>