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drawings/drawing1.xml" ContentType="application/vnd.openxmlformats-officedocument.drawingml.chartshape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C7F5D5">
      <w:pPr>
        <w:jc w:val="center"/>
        <w:rPr>
          <w:b/>
        </w:rPr>
      </w:pPr>
      <w:bookmarkStart w:id="0" w:name="_Toc170937940"/>
      <w:bookmarkStart w:id="1" w:name="_Toc168390117"/>
      <w:bookmarkStart w:id="2" w:name="_Toc168523102"/>
      <w:r>
        <w:rPr>
          <w:rFonts w:cs="Times New Roman"/>
          <w:b/>
        </w:rPr>
        <w:t xml:space="preserve">EVALUATION OF THE EFFECT OF </w:t>
      </w:r>
      <w:r>
        <w:rPr>
          <w:rFonts w:cs="Times New Roman"/>
          <w:b/>
          <w:i/>
        </w:rPr>
        <w:t>ASCARIDIA GALLI</w:t>
      </w:r>
      <w:r>
        <w:rPr>
          <w:rFonts w:cs="Times New Roman"/>
          <w:b/>
        </w:rPr>
        <w:t xml:space="preserve"> ON T</w:t>
      </w:r>
      <w:bookmarkStart w:id="115" w:name="_GoBack"/>
      <w:bookmarkEnd w:id="115"/>
      <w:r>
        <w:rPr>
          <w:rFonts w:cs="Times New Roman"/>
          <w:b/>
        </w:rPr>
        <w:t xml:space="preserve">HE NEWCASTLE DISEASE VACCINE EFFICACY AND THE IMMUNOSTIMULATORY EFFECTS OF HONEY IN CHICKENS                                                  </w:t>
      </w:r>
      <w:r>
        <w:rPr>
          <w:rFonts w:cs="Times New Roman"/>
          <w:b/>
        </w:rPr>
        <w:drawing>
          <wp:inline distT="0" distB="0" distL="0" distR="0">
            <wp:extent cx="1819275" cy="1724025"/>
            <wp:effectExtent l="0" t="0" r="0" b="0"/>
            <wp:docPr id="2" name="Picture 1" descr="C:\Users\Melkamu\Desktop\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C:\Users\Melkamu\Desktop\tt.jpg"/>
                    <pic:cNvPicPr>
                      <a:picLocks noChangeAspect="1" noChangeArrowheads="1"/>
                    </pic:cNvPicPr>
                  </pic:nvPicPr>
                  <pic:blipFill>
                    <a:blip r:embed="rId9" cstate="print"/>
                    <a:srcRect/>
                    <a:stretch>
                      <a:fillRect/>
                    </a:stretch>
                  </pic:blipFill>
                  <pic:spPr>
                    <a:xfrm>
                      <a:off x="0" y="0"/>
                      <a:ext cx="1823387" cy="1727922"/>
                    </a:xfrm>
                    <a:prstGeom prst="rect">
                      <a:avLst/>
                    </a:prstGeom>
                    <a:noFill/>
                    <a:ln w="9525">
                      <a:noFill/>
                      <a:miter lim="800000"/>
                      <a:headEnd/>
                      <a:tailEnd/>
                    </a:ln>
                  </pic:spPr>
                </pic:pic>
              </a:graphicData>
            </a:graphic>
          </wp:inline>
        </w:drawing>
      </w:r>
    </w:p>
    <w:p w14:paraId="0120DA7A">
      <w:pPr>
        <w:jc w:val="center"/>
        <w:rPr>
          <w:b/>
        </w:rPr>
      </w:pPr>
      <w:r>
        <w:rPr>
          <w:b/>
        </w:rPr>
        <w:t>ADDIS ABABA UNIVERSITY COLLEGE OF VETERINARY MEDICINE AND</w:t>
      </w:r>
    </w:p>
    <w:p w14:paraId="076CEBEB">
      <w:pPr>
        <w:jc w:val="center"/>
        <w:rPr>
          <w:b/>
        </w:rPr>
      </w:pPr>
      <w:r>
        <w:rPr>
          <w:b/>
        </w:rPr>
        <w:t>AGRICULTURE DEPARTMENT OF BIOMEDICAL SCIENCE, MSc PROGRAM IN VETERINARY PHARMACOLOGY</w:t>
      </w:r>
    </w:p>
    <w:p w14:paraId="0E9596C5">
      <w:pPr>
        <w:jc w:val="center"/>
        <w:rPr>
          <w:b/>
        </w:rPr>
      </w:pPr>
    </w:p>
    <w:p w14:paraId="3838BA54">
      <w:pPr>
        <w:jc w:val="center"/>
        <w:rPr>
          <w:b/>
        </w:rPr>
      </w:pPr>
      <w:r>
        <w:rPr>
          <w:b/>
        </w:rPr>
        <w:t>MSc THESIS</w:t>
      </w:r>
    </w:p>
    <w:p w14:paraId="65925604">
      <w:pPr>
        <w:jc w:val="center"/>
        <w:rPr>
          <w:b/>
        </w:rPr>
      </w:pPr>
    </w:p>
    <w:p w14:paraId="113BD510">
      <w:pPr>
        <w:jc w:val="center"/>
        <w:rPr>
          <w:b/>
        </w:rPr>
      </w:pPr>
      <w:r>
        <w:rPr>
          <w:b/>
        </w:rPr>
        <w:t>BY:</w:t>
      </w:r>
    </w:p>
    <w:p w14:paraId="11841254">
      <w:pPr>
        <w:jc w:val="center"/>
        <w:rPr>
          <w:b/>
        </w:rPr>
      </w:pPr>
      <w:r>
        <w:rPr>
          <w:b/>
        </w:rPr>
        <w:t>ZEMENU TSEHAY</w:t>
      </w:r>
    </w:p>
    <w:p w14:paraId="1825D1EC">
      <w:pPr>
        <w:rPr>
          <w:b/>
        </w:rPr>
      </w:pPr>
    </w:p>
    <w:p w14:paraId="668D0094"/>
    <w:p w14:paraId="2D1BB42D">
      <w:pPr>
        <w:jc w:val="center"/>
        <w:rPr>
          <w:b/>
        </w:rPr>
      </w:pPr>
      <w:r>
        <w:rPr>
          <w:b/>
        </w:rPr>
        <w:t>MAJOR ADVISOR: YOSEPH CHERINET (MSc, ASSOCIATE PROFESSOR)</w:t>
      </w:r>
    </w:p>
    <w:p w14:paraId="5C097E0A">
      <w:pPr>
        <w:spacing w:line="240" w:lineRule="auto"/>
        <w:jc w:val="center"/>
        <w:rPr>
          <w:b/>
        </w:rPr>
      </w:pPr>
    </w:p>
    <w:p w14:paraId="52286155">
      <w:r>
        <w:rPr>
          <w:b/>
        </w:rPr>
        <w:t xml:space="preserve">   CO-ADVISORS</w:t>
      </w:r>
      <w:r>
        <w:t xml:space="preserve">: </w:t>
      </w:r>
      <w:r>
        <w:rPr>
          <w:b/>
        </w:rPr>
        <w:t>FANOS TADESSE (PhD)</w:t>
      </w:r>
    </w:p>
    <w:p w14:paraId="2B8A5B93">
      <w:pPr>
        <w:rPr>
          <w:b/>
        </w:rPr>
      </w:pPr>
      <w:r>
        <w:rPr>
          <w:b/>
        </w:rPr>
        <w:t xml:space="preserve">                                 PROFESSOR JAN PAESHUYSE (PhD)</w:t>
      </w:r>
    </w:p>
    <w:p w14:paraId="3FB4D2A7">
      <w:pPr>
        <w:jc w:val="left"/>
        <w:rPr>
          <w:b/>
        </w:rPr>
      </w:pPr>
      <w:r>
        <w:rPr>
          <w:b/>
        </w:rPr>
        <w:t xml:space="preserve">                            </w:t>
      </w:r>
    </w:p>
    <w:p w14:paraId="10A7909E">
      <w:pPr>
        <w:jc w:val="left"/>
      </w:pPr>
    </w:p>
    <w:p w14:paraId="1DEE2DDE">
      <w:pPr>
        <w:jc w:val="left"/>
      </w:pPr>
    </w:p>
    <w:p w14:paraId="1E1C5218">
      <w:pPr>
        <w:jc w:val="left"/>
      </w:pPr>
    </w:p>
    <w:p w14:paraId="134A7AE7">
      <w:pPr>
        <w:jc w:val="left"/>
      </w:pPr>
    </w:p>
    <w:p w14:paraId="5F5A836F">
      <w:pPr>
        <w:jc w:val="left"/>
      </w:pPr>
    </w:p>
    <w:p w14:paraId="451C8F9D">
      <w:pPr>
        <w:jc w:val="right"/>
        <w:rPr>
          <w:b/>
        </w:rPr>
      </w:pPr>
      <w:r>
        <w:rPr>
          <w:b/>
        </w:rPr>
        <w:t>JUNE, 2024</w:t>
      </w:r>
    </w:p>
    <w:p w14:paraId="5409331C">
      <w:pPr>
        <w:jc w:val="right"/>
        <w:rPr>
          <w:b/>
        </w:rPr>
        <w:sectPr>
          <w:footerReference r:id="rId5" w:type="default"/>
          <w:pgSz w:w="12240" w:h="15840"/>
          <w:pgMar w:top="1440" w:right="1440" w:bottom="1440" w:left="2160" w:header="720" w:footer="720" w:gutter="0"/>
          <w:cols w:space="720" w:num="1"/>
          <w:docGrid w:linePitch="360" w:charSpace="0"/>
        </w:sectPr>
      </w:pPr>
      <w:r>
        <w:rPr>
          <w:b/>
        </w:rPr>
        <w:t>BISHOFTU, ETHIOPIA</w:t>
      </w:r>
    </w:p>
    <w:p w14:paraId="059D13E7">
      <w:pPr>
        <w:pStyle w:val="2"/>
      </w:pPr>
      <w:r>
        <w:t>ABSTRACT</w:t>
      </w:r>
      <w:bookmarkEnd w:id="0"/>
      <w:bookmarkEnd w:id="1"/>
      <w:bookmarkEnd w:id="2"/>
    </w:p>
    <w:p w14:paraId="48F8974F">
      <w:pPr>
        <w:spacing w:line="240" w:lineRule="auto"/>
      </w:pPr>
    </w:p>
    <w:p w14:paraId="69218B32">
      <w:pPr>
        <w:spacing w:line="240" w:lineRule="auto"/>
      </w:pPr>
    </w:p>
    <w:p w14:paraId="23EA5178">
      <w:r>
        <w:t xml:space="preserve">Vaccine efficacy to stimulate desired humoral and cell mediated immune response can be negatively and positively affected by concurrent helminth infection and uses of immunostimulatory feed additives respectively. This study aimed to assess the impact of </w:t>
      </w:r>
      <w:r>
        <w:rPr>
          <w:i/>
        </w:rPr>
        <w:t>Ascaridia galli</w:t>
      </w:r>
      <w:r>
        <w:t xml:space="preserve"> infection and use of honey on vaccine-induced immunity to Newcastle disease. A randomized control trial experimental design was implemented.  A total of 100 specific pathogen-free brooded chickens divided into nine experimental groups, where three groups (group 1, 3 and 7) experimentally infected with </w:t>
      </w:r>
      <w:r>
        <w:rPr>
          <w:i/>
        </w:rPr>
        <w:t>Ascaridia galli,</w:t>
      </w:r>
      <w:r>
        <w:t xml:space="preserve"> three groups were fed with honey (5,6 and 8), two groups (2 and 4) were vaccinated, non-infected and honey was not fed and one group(group-6) was control. Humoral immunity and cell mediated (Lymphocyte proliferation assay) immune response were evaluated after taking blood samples at 7 days interval.113 and 104.6 mean antibody titers were obtained in </w:t>
      </w:r>
      <w:r>
        <w:rPr>
          <w:lang w:val="en-GB"/>
        </w:rPr>
        <w:t>Hitchner B1</w:t>
      </w:r>
      <w:r>
        <w:t xml:space="preserve">/LaSota vaccinated and with parasite infected respectively and there were significance difference (P&lt;0.05) relative to control group. While 112.8 and 91 average antibody titer was obtained in thermostable-I2 vaccinated only and vaccinated with parasite groups respectively. The results were significantly increased (P&lt;0.05) compared to the non-significant control group (P&gt;0.05). The cell absorbance (average optical density) and the stimulation index of the vaccinated groups also high and significant. Higher mean antibody titer, cell absorbance, stimulation index also obtained in vaccinated and honey fed groups relative to the control group. </w:t>
      </w:r>
      <w:r>
        <w:rPr>
          <w:i/>
        </w:rPr>
        <w:t>Ascaridia galli</w:t>
      </w:r>
      <w:r>
        <w:t xml:space="preserve"> had an effect on the humoral and cell mediated immune responses of the Newcastle disease vaccines. However, more study will acertain if vaccine-induced protective immunity will be impaired by </w:t>
      </w:r>
      <w:r>
        <w:rPr>
          <w:i/>
        </w:rPr>
        <w:t>Ascaridia galli</w:t>
      </w:r>
      <w:r>
        <w:t>-infection and whether or not honey feeding will help to stimulate the immunity. A more detailed study is therefore required on the quantitative assessment of honey for antibody response in chicks.</w:t>
      </w:r>
    </w:p>
    <w:p w14:paraId="326B23B7">
      <w:pPr>
        <w:spacing w:line="240" w:lineRule="auto"/>
        <w:rPr>
          <w:color w:val="7030A0"/>
        </w:rPr>
      </w:pPr>
    </w:p>
    <w:p w14:paraId="05672045">
      <w:r>
        <w:rPr>
          <w:b/>
        </w:rPr>
        <w:t>Key words</w:t>
      </w:r>
      <w:r>
        <w:t xml:space="preserve">: </w:t>
      </w:r>
      <w:r>
        <w:rPr>
          <w:i/>
        </w:rPr>
        <w:t>Ascaridia galli, Chicken, Honey, Immunity, Newcastle disease, Vaccine</w:t>
      </w:r>
    </w:p>
    <w:p w14:paraId="4B5E74FE">
      <w:pPr>
        <w:sectPr>
          <w:footerReference r:id="rId6" w:type="default"/>
          <w:pgSz w:w="12240" w:h="15840"/>
          <w:pgMar w:top="1440" w:right="1440" w:bottom="1440" w:left="2160" w:header="720" w:footer="720" w:gutter="0"/>
          <w:pgNumType w:fmt="upperRoman"/>
          <w:cols w:space="720" w:num="1"/>
          <w:docGrid w:linePitch="360" w:charSpace="0"/>
        </w:sectPr>
      </w:pPr>
    </w:p>
    <w:p w14:paraId="6DEA6101">
      <w:pPr>
        <w:pStyle w:val="2"/>
      </w:pPr>
      <w:bookmarkStart w:id="3" w:name="_Toc170937941"/>
      <w:bookmarkStart w:id="4" w:name="_Toc168523103"/>
      <w:bookmarkStart w:id="5" w:name="_Toc168390118"/>
      <w:r>
        <w:t>1. INTRODUCTION</w:t>
      </w:r>
      <w:bookmarkEnd w:id="3"/>
      <w:bookmarkEnd w:id="4"/>
      <w:bookmarkEnd w:id="5"/>
      <w:r>
        <w:t xml:space="preserve"> </w:t>
      </w:r>
    </w:p>
    <w:p w14:paraId="1FBF106E">
      <w:pPr>
        <w:spacing w:line="240" w:lineRule="auto"/>
      </w:pPr>
    </w:p>
    <w:p w14:paraId="65E9AAE9">
      <w:pPr>
        <w:spacing w:line="240" w:lineRule="auto"/>
      </w:pPr>
    </w:p>
    <w:p w14:paraId="1E9C17B8">
      <w:r>
        <w:t>Newcastle disease (ND) is a highly contagious and economically significant avian virus disease that is categorized as a list A disease of poultry by the world organization for animal health (</w:t>
      </w:r>
      <w:r>
        <w:rPr>
          <w:rFonts w:eastAsia="Times New Roman" w:cs="Times New Roman"/>
          <w:szCs w:val="24"/>
        </w:rPr>
        <w:t xml:space="preserve">Kalonda </w:t>
      </w:r>
      <w:r>
        <w:rPr>
          <w:rFonts w:eastAsia="Times New Roman" w:cs="Times New Roman"/>
          <w:i/>
          <w:szCs w:val="24"/>
        </w:rPr>
        <w:t>et al</w:t>
      </w:r>
      <w:r>
        <w:rPr>
          <w:rFonts w:eastAsia="Times New Roman" w:cs="Times New Roman"/>
          <w:szCs w:val="24"/>
        </w:rPr>
        <w:t>.</w:t>
      </w:r>
      <w:r>
        <w:t xml:space="preserve">, 2024). There have been outbreaks of the disease all over the world since it first appeared in 1926 on Java Island, Indonesia (Xiao </w:t>
      </w:r>
      <w:r>
        <w:rPr>
          <w:i/>
        </w:rPr>
        <w:t>et al</w:t>
      </w:r>
      <w:r>
        <w:t xml:space="preserve">., 2012) and Newcastle-upon-Tyne, England (Kraneveld, 1926), which has caused significant financial losses for the chicken industry (Rabiei </w:t>
      </w:r>
      <w:r>
        <w:rPr>
          <w:i/>
        </w:rPr>
        <w:t>et al</w:t>
      </w:r>
      <w:r>
        <w:t xml:space="preserve">., 2020). Major disease outbreaks in domestic and commercial chicken flocks in Malaysia have been caused by ND since its identification in 1934 in poultry flocks in Parit Buntar, Perak (Leow </w:t>
      </w:r>
      <w:r>
        <w:rPr>
          <w:i/>
        </w:rPr>
        <w:t>et al</w:t>
      </w:r>
      <w:r>
        <w:t>., 2011). The disease is caused by the orthoavulavirus-1 Newcastle disease virus (NDV), which affects birds (</w:t>
      </w:r>
      <w:r>
        <w:rPr>
          <w:rFonts w:eastAsia="Times New Roman" w:cs="Times New Roman"/>
          <w:szCs w:val="24"/>
        </w:rPr>
        <w:t xml:space="preserve">Karamendin </w:t>
      </w:r>
      <w:r>
        <w:rPr>
          <w:rFonts w:eastAsia="Times New Roman" w:cs="Times New Roman"/>
          <w:i/>
          <w:szCs w:val="24"/>
        </w:rPr>
        <w:t>et al</w:t>
      </w:r>
      <w:r>
        <w:rPr>
          <w:rFonts w:eastAsia="Times New Roman" w:cs="Times New Roman"/>
          <w:szCs w:val="24"/>
        </w:rPr>
        <w:t>., 2019)</w:t>
      </w:r>
      <w:r>
        <w:t>.</w:t>
      </w:r>
    </w:p>
    <w:p w14:paraId="770F635F">
      <w:pPr>
        <w:spacing w:line="240" w:lineRule="auto"/>
      </w:pPr>
    </w:p>
    <w:p w14:paraId="6A423FCD">
      <w:r>
        <w:t xml:space="preserve">The Newcastle disease virus is divided into three pathotypes: velogenic, mesogenic, and lentogenic strains based on recommended pathogenicity indices from the World Organization for Animal Health (WOAH) in one-day-old specific pathogen-free (SPF) chicks (intracerebral pathogenicity index(ICPI))and in 9-11 day old SPF embryonated chicken eggs (ECE) (Alexander, 1997). Based on the composition of amino acids found in the F protein cleavage site, the avirulent NDV contains monobasic F cleavage sites while the virulent NDV has polybasic cleavage sites (Dortmans </w:t>
      </w:r>
      <w:r>
        <w:rPr>
          <w:i/>
        </w:rPr>
        <w:t>et al</w:t>
      </w:r>
      <w:r>
        <w:t>., 2012).</w:t>
      </w:r>
    </w:p>
    <w:p w14:paraId="52BFA15E">
      <w:pPr>
        <w:spacing w:line="240" w:lineRule="auto"/>
      </w:pPr>
    </w:p>
    <w:p w14:paraId="5547D48A">
      <w:r>
        <w:t>Tight biosecurity protocols and an effective immunization campaign are necessary for the effective management of ND. More than 60 years have passed since the development of ND vaccines. However, ND outbreaks continue to happen in private and commercial chicken farms (Ansori and Kharisma, 2020) because of a number of variables that prevent full immunity from being induced following vaccination in field settings. The primary cause of the supper effectiveness of the ND vaccines now in use in the field may be the genotype mismatch between the vaccine strains and field NDV isolates. All commercially available ND vaccines, including B1, LaSota, and V4, are categorized as genotype I or II based on phylogenetic analysis</w:t>
      </w:r>
      <w:r>
        <w:rPr>
          <w:rFonts w:eastAsia="Times New Roman" w:cs="Times New Roman"/>
          <w:szCs w:val="24"/>
        </w:rPr>
        <w:t xml:space="preserve"> (Mahamud </w:t>
      </w:r>
      <w:r>
        <w:rPr>
          <w:rFonts w:eastAsia="Times New Roman" w:cs="Times New Roman"/>
          <w:i/>
          <w:szCs w:val="24"/>
        </w:rPr>
        <w:t>et al</w:t>
      </w:r>
      <w:r>
        <w:rPr>
          <w:rFonts w:eastAsia="Times New Roman" w:cs="Times New Roman"/>
          <w:szCs w:val="24"/>
        </w:rPr>
        <w:t>., 2022)</w:t>
      </w:r>
      <w:r>
        <w:t>.</w:t>
      </w:r>
    </w:p>
    <w:p w14:paraId="6090080C"/>
    <w:p w14:paraId="544D2ECA">
      <w:r>
        <w:t>Based on a pairwise examination of their F and HN nucleotides (</w:t>
      </w:r>
      <w:r>
        <w:rPr>
          <w:rFonts w:eastAsia="Times New Roman" w:cs="Times New Roman"/>
          <w:szCs w:val="24"/>
        </w:rPr>
        <w:t xml:space="preserve">Bello </w:t>
      </w:r>
      <w:r>
        <w:rPr>
          <w:rFonts w:eastAsia="Times New Roman" w:cs="Times New Roman"/>
          <w:i/>
          <w:szCs w:val="24"/>
        </w:rPr>
        <w:t>et al</w:t>
      </w:r>
      <w:r>
        <w:rPr>
          <w:rFonts w:eastAsia="Times New Roman" w:cs="Times New Roman"/>
          <w:szCs w:val="24"/>
        </w:rPr>
        <w:t>., 2020),</w:t>
      </w:r>
      <w:r>
        <w:t xml:space="preserve"> NDV vaccines have a genetic divergence of at least 10% with isolates of genotype VII. Furthermore, a number of studies have revealed that vaccinations developed using circulating strains, also referred to as genotype-matched vaccines are more effective than genotype I and II vaccinations, particularly when it comes to lowering the amount and length of virus shedding following a challenge (</w:t>
      </w:r>
      <w:r>
        <w:rPr>
          <w:rFonts w:eastAsia="Times New Roman" w:cs="Times New Roman"/>
          <w:szCs w:val="24"/>
        </w:rPr>
        <w:t xml:space="preserve">Sultan </w:t>
      </w:r>
      <w:r>
        <w:rPr>
          <w:rFonts w:eastAsia="Times New Roman" w:cs="Times New Roman"/>
          <w:i/>
          <w:szCs w:val="24"/>
        </w:rPr>
        <w:t>et al</w:t>
      </w:r>
      <w:r>
        <w:rPr>
          <w:rFonts w:eastAsia="Times New Roman" w:cs="Times New Roman"/>
          <w:szCs w:val="24"/>
        </w:rPr>
        <w:t>., 2020).</w:t>
      </w:r>
    </w:p>
    <w:p w14:paraId="6DDD2A2F">
      <w:pPr>
        <w:spacing w:line="240" w:lineRule="auto"/>
      </w:pPr>
    </w:p>
    <w:p w14:paraId="4D7EA015">
      <w:r>
        <w:t xml:space="preserve">Vaccination is a widely utilized and economical method that helps reduce a variety of infectious diseases. Nonetheless, there is mounting evidence that parasite infections may affect the effectiveness of vaccines and confuse the immune system's reaction to foreign antigens. Decreased humoral and cellular immune responses during the bacillus Calmette-Guérin (Elias </w:t>
      </w:r>
      <w:r>
        <w:rPr>
          <w:i/>
        </w:rPr>
        <w:t>et al</w:t>
      </w:r>
      <w:r>
        <w:t xml:space="preserve">., 2001), tetanus toxoid vaccination (Nookala </w:t>
      </w:r>
      <w:r>
        <w:rPr>
          <w:i/>
        </w:rPr>
        <w:t>et al</w:t>
      </w:r>
      <w:r>
        <w:t xml:space="preserve">., 2004), in the presence of helminth-infection in animals (Cooper </w:t>
      </w:r>
      <w:r>
        <w:rPr>
          <w:i/>
        </w:rPr>
        <w:t>et al</w:t>
      </w:r>
      <w:r>
        <w:t xml:space="preserve">., 2001). Drug-induced helminth infection clearance has been shown to occasionally greatly enhance vaccine-specific responses (Elias </w:t>
      </w:r>
      <w:r>
        <w:rPr>
          <w:i/>
        </w:rPr>
        <w:t>et al</w:t>
      </w:r>
      <w:r>
        <w:t>., 2001).</w:t>
      </w:r>
    </w:p>
    <w:p w14:paraId="1E02AC96">
      <w:pPr>
        <w:spacing w:line="240" w:lineRule="auto"/>
      </w:pPr>
    </w:p>
    <w:p w14:paraId="074B5F3D">
      <w:r>
        <w:t xml:space="preserve">Since helminth induced immunomodulation lowers host responses, allowing parasite survival and limiting tissue damage, most birds with helminthes are likely ignorant of the infection (Maizels and Yazdanbakhsh, 2003). Immunomodulation may spill-over, changing how the body reacts to unrelated organisms, including vaccines (Elias </w:t>
      </w:r>
      <w:r>
        <w:rPr>
          <w:i/>
        </w:rPr>
        <w:t>et al</w:t>
      </w:r>
      <w:r>
        <w:t xml:space="preserve">., 2001), viruses (Actor </w:t>
      </w:r>
      <w:r>
        <w:rPr>
          <w:i/>
        </w:rPr>
        <w:t>et al</w:t>
      </w:r>
      <w:r>
        <w:t>., 2003), bacteria (Brady</w:t>
      </w:r>
      <w:r>
        <w:rPr>
          <w:i/>
        </w:rPr>
        <w:t xml:space="preserve"> et al</w:t>
      </w:r>
      <w:r>
        <w:t xml:space="preserve">., 1999), and mycobacteria (Pearlman </w:t>
      </w:r>
      <w:r>
        <w:rPr>
          <w:i/>
        </w:rPr>
        <w:t>et al</w:t>
      </w:r>
      <w:r>
        <w:t>., 1993).</w:t>
      </w:r>
    </w:p>
    <w:p w14:paraId="1C5380D7">
      <w:pPr>
        <w:spacing w:line="240" w:lineRule="auto"/>
      </w:pPr>
    </w:p>
    <w:p w14:paraId="14585661">
      <w:r>
        <w:t xml:space="preserve">In view of its antimicrobial and immunomodulatory effect honey is used as feed additives (Hegazi </w:t>
      </w:r>
      <w:r>
        <w:rPr>
          <w:i/>
        </w:rPr>
        <w:t>et al</w:t>
      </w:r>
      <w:r>
        <w:t xml:space="preserve">., 2013; Eteraf-Oskouei and Najafi, 2019). According to Eteraf-Oskouei and Najafi (2019), honey contains a number of micronutrients, vitamins, and enzymes (glucose oxidase). These components may be responsible for the honey strong inhibitory effect on up to 60 different species of fungi, viruses and bacteria and composed mainly of glucose and fructose, honey also contains the prebiotic fructo-oligosaccharide (FOS). Once fermented in the colon, FOS stimulates the production of bifidobacteria; among the major genera of bacteria that characterize a healthy microflora (Hegazi </w:t>
      </w:r>
      <w:r>
        <w:rPr>
          <w:i/>
        </w:rPr>
        <w:t>et al</w:t>
      </w:r>
      <w:r>
        <w:t xml:space="preserve">., 2013). There is an increase demand for using natural biological compounds, such as honey as feed additives. There is still a lack of sufficient information about the properties of honey as an additive in chicken feed (Hegazi </w:t>
      </w:r>
      <w:r>
        <w:rPr>
          <w:i/>
        </w:rPr>
        <w:t>et al</w:t>
      </w:r>
      <w:r>
        <w:t>., 2013).</w:t>
      </w:r>
    </w:p>
    <w:p w14:paraId="6E4DB9EF">
      <w:pPr>
        <w:pStyle w:val="11"/>
        <w:rPr>
          <w:sz w:val="24"/>
          <w:szCs w:val="22"/>
        </w:rPr>
      </w:pPr>
    </w:p>
    <w:p w14:paraId="3C027AD6">
      <w:pPr>
        <w:pStyle w:val="11"/>
        <w:spacing w:line="360" w:lineRule="auto"/>
        <w:rPr>
          <w:sz w:val="24"/>
          <w:szCs w:val="24"/>
        </w:rPr>
      </w:pPr>
      <w:r>
        <w:rPr>
          <w:sz w:val="24"/>
          <w:szCs w:val="24"/>
        </w:rPr>
        <w:t xml:space="preserve">Though vaccination is practiced in central Ethiopia the outbreak of NCD is still occurring even in a vaccinated group (Abel, 2018). This might be attributed to the poor vaccination strategy or vaccination in the presence of helminth infestation. To the best of our knowledge there was limited study to evaluate the effects of </w:t>
      </w:r>
      <w:r>
        <w:rPr>
          <w:i/>
          <w:sz w:val="24"/>
          <w:szCs w:val="24"/>
        </w:rPr>
        <w:t>A.galli</w:t>
      </w:r>
      <w:r>
        <w:rPr>
          <w:sz w:val="24"/>
          <w:szCs w:val="24"/>
        </w:rPr>
        <w:t xml:space="preserve"> infestation and the immunostimulatory effect of honey on the efficacy of ND vaccines. </w:t>
      </w:r>
    </w:p>
    <w:p w14:paraId="67667B13">
      <w:pPr>
        <w:spacing w:line="240" w:lineRule="auto"/>
      </w:pPr>
    </w:p>
    <w:p w14:paraId="7DD68921">
      <w:r>
        <w:t>The objectives of this research were:</w:t>
      </w:r>
    </w:p>
    <w:p w14:paraId="4FE05BBD">
      <w:r>
        <w:t>General objectives</w:t>
      </w:r>
    </w:p>
    <w:p w14:paraId="3D9E9A68">
      <w:pPr>
        <w:pStyle w:val="33"/>
        <w:widowControl w:val="0"/>
        <w:numPr>
          <w:ilvl w:val="0"/>
          <w:numId w:val="1"/>
        </w:numPr>
        <w:autoSpaceDE w:val="0"/>
        <w:autoSpaceDN w:val="0"/>
      </w:pPr>
      <w:r>
        <w:t xml:space="preserve">To evaluate the effect of </w:t>
      </w:r>
      <w:r>
        <w:rPr>
          <w:i/>
        </w:rPr>
        <w:t>Ascaridia galli</w:t>
      </w:r>
      <w:r>
        <w:t xml:space="preserve"> infection on the immune response of NDV vaccines, and to assess the immunostimulatory effect of honey in NDV vaccinated chickens.</w:t>
      </w:r>
    </w:p>
    <w:p w14:paraId="643F3AA4">
      <w:pPr>
        <w:widowControl w:val="0"/>
        <w:autoSpaceDE w:val="0"/>
        <w:autoSpaceDN w:val="0"/>
      </w:pPr>
      <w:r>
        <w:t>Specific objectives</w:t>
      </w:r>
    </w:p>
    <w:p w14:paraId="7F1EABB2">
      <w:pPr>
        <w:pStyle w:val="33"/>
        <w:numPr>
          <w:ilvl w:val="0"/>
          <w:numId w:val="2"/>
        </w:numPr>
        <w:ind w:left="720"/>
      </w:pPr>
      <w:r>
        <w:t xml:space="preserve">To determine the humoral and cell mediated immune response of chicken vaccinated against ND in the presence of </w:t>
      </w:r>
      <w:r>
        <w:rPr>
          <w:i/>
        </w:rPr>
        <w:t>A.galli</w:t>
      </w:r>
      <w:r>
        <w:t xml:space="preserve"> infection. </w:t>
      </w:r>
    </w:p>
    <w:p w14:paraId="3251DA38">
      <w:pPr>
        <w:pStyle w:val="33"/>
        <w:numPr>
          <w:ilvl w:val="0"/>
          <w:numId w:val="3"/>
        </w:numPr>
        <w:ind w:left="720"/>
      </w:pPr>
      <w:r>
        <w:t>To detect the immunostimulatory effects of honey.</w:t>
      </w:r>
    </w:p>
    <w:p w14:paraId="5C9A1118">
      <w:pPr>
        <w:pStyle w:val="33"/>
        <w:numPr>
          <w:ilvl w:val="0"/>
          <w:numId w:val="3"/>
        </w:numPr>
        <w:ind w:left="720"/>
        <w:sectPr>
          <w:footerReference r:id="rId7" w:type="default"/>
          <w:pgSz w:w="12240" w:h="15840"/>
          <w:pgMar w:top="1440" w:right="1440" w:bottom="1440" w:left="2160" w:header="720" w:footer="720" w:gutter="0"/>
          <w:pgNumType w:start="1"/>
          <w:cols w:space="720" w:num="1"/>
          <w:docGrid w:linePitch="360" w:charSpace="0"/>
        </w:sectPr>
      </w:pPr>
    </w:p>
    <w:p w14:paraId="1FDACE56">
      <w:pPr>
        <w:pStyle w:val="2"/>
      </w:pPr>
      <w:bookmarkStart w:id="6" w:name="_Toc168390136"/>
      <w:bookmarkStart w:id="7" w:name="_Toc168523121"/>
      <w:bookmarkStart w:id="8" w:name="_Toc170937958"/>
      <w:r>
        <w:t>3. METHOD</w:t>
      </w:r>
      <w:bookmarkEnd w:id="6"/>
      <w:bookmarkEnd w:id="7"/>
      <w:r>
        <w:t>OLOGY</w:t>
      </w:r>
      <w:bookmarkEnd w:id="8"/>
    </w:p>
    <w:p w14:paraId="0F294C5D">
      <w:pPr>
        <w:spacing w:line="240" w:lineRule="auto"/>
      </w:pPr>
    </w:p>
    <w:p w14:paraId="10888663">
      <w:pPr>
        <w:spacing w:line="240" w:lineRule="auto"/>
      </w:pPr>
    </w:p>
    <w:p w14:paraId="2A4650BF">
      <w:pPr>
        <w:pStyle w:val="3"/>
        <w:spacing w:before="0" w:after="0"/>
      </w:pPr>
      <w:bookmarkStart w:id="9" w:name="_Toc168390137"/>
      <w:bookmarkStart w:id="10" w:name="_Toc170937959"/>
      <w:bookmarkStart w:id="11" w:name="_Toc168523122"/>
      <w:r>
        <w:t>3.1. Study Area</w:t>
      </w:r>
      <w:bookmarkEnd w:id="9"/>
      <w:bookmarkEnd w:id="10"/>
      <w:bookmarkEnd w:id="11"/>
    </w:p>
    <w:p w14:paraId="073329E8">
      <w:pPr>
        <w:spacing w:line="240" w:lineRule="auto"/>
      </w:pPr>
    </w:p>
    <w:p w14:paraId="692E8FD4">
      <w:r>
        <w:t xml:space="preserve">The experiment was carried out at NVI research and development directorate facility in Bishoftu town, Ethiopia, located in the East Shewa zone of the Oromia regional state, approximately 47km southeast of Addis Ababa. The town's exact coordinates are 8°45′N latitude and 38°59′E longitude (Tibebu </w:t>
      </w:r>
      <w:r>
        <w:rPr>
          <w:i/>
        </w:rPr>
        <w:t>et al</w:t>
      </w:r>
      <w:r>
        <w:t xml:space="preserve">., 2021). The long rainy season, which runs from June to September, accounts for 84% of Bishoftu's yearly rainfall, with the remaining portion falling between March and May during the short wet season. The average annual relative humidity in Bishoftu is 61.3%, while the average minimum and highest temperatures are 8.5 and 30.7 °C, respectively (Birhanu </w:t>
      </w:r>
      <w:r>
        <w:rPr>
          <w:i/>
        </w:rPr>
        <w:t>et al</w:t>
      </w:r>
      <w:r>
        <w:t xml:space="preserve">., 2017).  </w:t>
      </w:r>
    </w:p>
    <w:p w14:paraId="240CD788"/>
    <w:p w14:paraId="29CD9D87">
      <w:r>
        <w:drawing>
          <wp:inline distT="0" distB="0" distL="0" distR="0">
            <wp:extent cx="5745480" cy="384238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10" cstate="print"/>
                    <a:stretch>
                      <a:fillRect/>
                    </a:stretch>
                  </pic:blipFill>
                  <pic:spPr>
                    <a:xfrm>
                      <a:off x="0" y="0"/>
                      <a:ext cx="5750576" cy="3846085"/>
                    </a:xfrm>
                    <a:prstGeom prst="rect">
                      <a:avLst/>
                    </a:prstGeom>
                  </pic:spPr>
                </pic:pic>
              </a:graphicData>
            </a:graphic>
          </wp:inline>
        </w:drawing>
      </w:r>
    </w:p>
    <w:p w14:paraId="2441F25B">
      <w:pPr>
        <w:pStyle w:val="10"/>
        <w:spacing w:after="0"/>
      </w:pPr>
      <w:bookmarkStart w:id="12" w:name="_Toc170950649"/>
      <w:r>
        <w:rPr>
          <w:color w:val="auto"/>
          <w:sz w:val="24"/>
          <w:szCs w:val="24"/>
        </w:rPr>
        <w:t xml:space="preserve">Figure </w:t>
      </w:r>
      <w:r>
        <w:rPr>
          <w:color w:val="auto"/>
          <w:sz w:val="24"/>
          <w:szCs w:val="24"/>
        </w:rPr>
        <w:fldChar w:fldCharType="begin"/>
      </w:r>
      <w:r>
        <w:rPr>
          <w:color w:val="auto"/>
          <w:sz w:val="24"/>
          <w:szCs w:val="24"/>
        </w:rPr>
        <w:instrText xml:space="preserve"> SEQ Figure \* ARABIC </w:instrText>
      </w:r>
      <w:r>
        <w:rPr>
          <w:color w:val="auto"/>
          <w:sz w:val="24"/>
          <w:szCs w:val="24"/>
        </w:rPr>
        <w:fldChar w:fldCharType="separate"/>
      </w:r>
      <w:r>
        <w:rPr>
          <w:color w:val="auto"/>
          <w:sz w:val="24"/>
          <w:szCs w:val="24"/>
        </w:rPr>
        <w:t>3</w:t>
      </w:r>
      <w:r>
        <w:rPr>
          <w:color w:val="auto"/>
          <w:sz w:val="24"/>
          <w:szCs w:val="24"/>
        </w:rPr>
        <w:fldChar w:fldCharType="end"/>
      </w:r>
      <w:r>
        <w:rPr>
          <w:color w:val="auto"/>
          <w:sz w:val="24"/>
          <w:szCs w:val="24"/>
        </w:rPr>
        <w:t>:</w:t>
      </w:r>
      <w:r>
        <w:t xml:space="preserve"> </w:t>
      </w:r>
      <w:r>
        <w:rPr>
          <w:b w:val="0"/>
          <w:color w:val="auto"/>
          <w:sz w:val="24"/>
          <w:szCs w:val="24"/>
        </w:rPr>
        <w:t>The map of Bishoftu town (the study area).</w:t>
      </w:r>
      <w:bookmarkEnd w:id="12"/>
      <w:r>
        <w:t xml:space="preserve"> </w:t>
      </w:r>
    </w:p>
    <w:p w14:paraId="6C5CD30E"/>
    <w:p w14:paraId="37C670AE"/>
    <w:p w14:paraId="3F385805">
      <w:pPr>
        <w:pStyle w:val="3"/>
        <w:spacing w:before="0" w:after="0"/>
      </w:pPr>
      <w:bookmarkStart w:id="13" w:name="_Toc168390138"/>
      <w:bookmarkStart w:id="14" w:name="_Toc170937960"/>
      <w:bookmarkStart w:id="15" w:name="_Toc168523123"/>
      <w:r>
        <w:rPr>
          <w:rStyle w:val="26"/>
          <w:b w:val="0"/>
          <w:bCs w:val="0"/>
        </w:rPr>
        <w:t>3.2.</w:t>
      </w:r>
      <w:r>
        <w:t xml:space="preserve"> </w:t>
      </w:r>
      <w:r>
        <w:rPr>
          <w:rStyle w:val="26"/>
          <w:b w:val="0"/>
          <w:bCs w:val="0"/>
        </w:rPr>
        <w:t>Experimental Chickens</w:t>
      </w:r>
      <w:bookmarkEnd w:id="13"/>
      <w:bookmarkEnd w:id="14"/>
      <w:bookmarkEnd w:id="15"/>
    </w:p>
    <w:p w14:paraId="3CF9CAEA">
      <w:pPr>
        <w:spacing w:line="240" w:lineRule="auto"/>
      </w:pPr>
    </w:p>
    <w:p w14:paraId="10124CC4">
      <w:pPr>
        <w:rPr>
          <w:rFonts w:eastAsia="Times New Roman" w:cs="Times New Roman"/>
          <w:szCs w:val="24"/>
        </w:rPr>
      </w:pPr>
      <w:r>
        <w:t>The separate house has an area of 50m</w:t>
      </w:r>
      <w:r>
        <w:rPr>
          <w:vertAlign w:val="superscript"/>
        </w:rPr>
        <w:t>2</w:t>
      </w:r>
      <w:r>
        <w:t xml:space="preserve"> for 100 </w:t>
      </w:r>
      <w:r>
        <w:rPr>
          <w:szCs w:val="24"/>
        </w:rPr>
        <w:t xml:space="preserve">Lohmans brown </w:t>
      </w:r>
      <w:r>
        <w:t xml:space="preserve">chickens of the treatment and control groups with 9 groups with separate pens. Specific pathogens free day old chickens were hatched using a </w:t>
      </w:r>
      <w:r>
        <w:rPr>
          <w:szCs w:val="24"/>
        </w:rPr>
        <w:t>hatchery incubator</w:t>
      </w:r>
      <w:r>
        <w:t xml:space="preserve"> at Alema hatchery center, Ethiopia.</w:t>
      </w:r>
      <w:r>
        <w:rPr>
          <w:szCs w:val="24"/>
        </w:rPr>
        <w:t xml:space="preserve"> The chickens were brooded together and divided into each separate experimental group. Chicks were kept in a pen with infrared bulbs for heating and teff straw for bedding until day 21.</w:t>
      </w:r>
      <w:r>
        <w:t xml:space="preserve"> </w:t>
      </w:r>
      <w:r>
        <w:rPr>
          <w:rFonts w:eastAsia="Times New Roman" w:cs="Times New Roman"/>
          <w:szCs w:val="24"/>
        </w:rPr>
        <w:t>They were fed a commercial starter ration for the first week of the trial, grower for a month, and finisher for the remaining duration. There was always food and water available.</w:t>
      </w:r>
    </w:p>
    <w:p w14:paraId="5714BB88">
      <w:pPr>
        <w:spacing w:line="240" w:lineRule="auto"/>
        <w:rPr>
          <w:rFonts w:eastAsia="Times New Roman" w:cs="Times New Roman"/>
          <w:szCs w:val="24"/>
        </w:rPr>
      </w:pPr>
    </w:p>
    <w:p w14:paraId="32C52552">
      <w:pPr>
        <w:pStyle w:val="3"/>
        <w:spacing w:before="0" w:after="0"/>
      </w:pPr>
      <w:bookmarkStart w:id="16" w:name="_Toc170937961"/>
      <w:bookmarkStart w:id="17" w:name="_Toc168390139"/>
      <w:bookmarkStart w:id="18" w:name="_Toc168523124"/>
      <w:r>
        <w:t>3.3. Experimental Design</w:t>
      </w:r>
      <w:bookmarkEnd w:id="16"/>
      <w:bookmarkEnd w:id="17"/>
      <w:bookmarkEnd w:id="18"/>
    </w:p>
    <w:p w14:paraId="2576592C">
      <w:pPr>
        <w:spacing w:line="240" w:lineRule="auto"/>
      </w:pPr>
    </w:p>
    <w:p w14:paraId="226FCCC5">
      <w:r>
        <w:t>The study design was randomize controlled trial where one hundred (100) chickens divided into nine (9) groups. Briefly, chickens were randomly assigned into one of the nine groups (group1-group 9) with 11 chickens in each group (n=11 and 1 died at first day) among these the final group (9</w:t>
      </w:r>
      <w:r>
        <w:rPr>
          <w:vertAlign w:val="superscript"/>
        </w:rPr>
        <w:t>th</w:t>
      </w:r>
      <w:r>
        <w:t xml:space="preserve">) was used as negative control group. Following the guidelines established for animal welfare, groups of the chicks were raised in nine different pens. From these, three groups (1, 3 and 7) were parasite infected 3 days prior to vaccination, three groups (5, 6, and 8) were fed with honey since sixth day of age till the end of the experiment (49 day), two groups (2 and 4) were vaccinated only and the remaining one group (group 9) used as control. Except group 7, 8 and 9, the rest six groups were vaccinated with either HB1+LaSota or Newcastle thermostable (NCTH) vaccines through intraocular instillation according to manufacturer guidelines (NVI, Ethiopia). Group 8 and group 7 were only honey-fed and parasite-infected respectively. The negative control (group 9) didn’t get treatments (Table 1). At day 35 of the experimental period all groups were challenged with a highly-virulent NDV field strain (Origin =NVI, Accession number MN909675.1). </w:t>
      </w:r>
    </w:p>
    <w:p w14:paraId="5600A3A4">
      <w:pPr>
        <w:spacing w:line="240" w:lineRule="auto"/>
      </w:pPr>
    </w:p>
    <w:p w14:paraId="2BD5B685">
      <w:r>
        <w:t>To monitor the antibody response to vaccination, blood were collected from the wing vein at day 3 (for screening test) before challenge and vaccination, sample taking was continued on 7</w:t>
      </w:r>
      <w:r>
        <w:rPr>
          <w:vertAlign w:val="superscript"/>
        </w:rPr>
        <w:t>th</w:t>
      </w:r>
      <w:r>
        <w:t>, 14</w:t>
      </w:r>
      <w:r>
        <w:rPr>
          <w:vertAlign w:val="superscript"/>
        </w:rPr>
        <w:t>th</w:t>
      </w:r>
      <w:r>
        <w:t>, 21</w:t>
      </w:r>
      <w:r>
        <w:rPr>
          <w:vertAlign w:val="superscript"/>
        </w:rPr>
        <w:t>th</w:t>
      </w:r>
      <w:r>
        <w:t>, 28</w:t>
      </w:r>
      <w:r>
        <w:rPr>
          <w:vertAlign w:val="superscript"/>
        </w:rPr>
        <w:t>th</w:t>
      </w:r>
      <w:r>
        <w:t>, 35</w:t>
      </w:r>
      <w:r>
        <w:rPr>
          <w:vertAlign w:val="superscript"/>
        </w:rPr>
        <w:t>th</w:t>
      </w:r>
      <w:r>
        <w:t xml:space="preserve"> and 49</w:t>
      </w:r>
      <w:r>
        <w:rPr>
          <w:vertAlign w:val="superscript"/>
        </w:rPr>
        <w:t>th</w:t>
      </w:r>
      <w:r>
        <w:t xml:space="preserve"> date of the experiment. Each chick in the vaccine groups was vaccinated according to the manufacturer's recommendation (NVI, Ethiopia), received one dose of the vaccine intraocularly (HB1 at the 7</w:t>
      </w:r>
      <w:r>
        <w:rPr>
          <w:vertAlign w:val="superscript"/>
        </w:rPr>
        <w:t>th</w:t>
      </w:r>
      <w:r>
        <w:t xml:space="preserve"> day of age and LaSota was continued at 21 and 42 days of age, NCTH was given at 7</w:t>
      </w:r>
      <w:r>
        <w:rPr>
          <w:vertAlign w:val="superscript"/>
        </w:rPr>
        <w:t>th</w:t>
      </w:r>
      <w:r>
        <w:t xml:space="preserve"> day of age and boost at 21 and 42 days referred from the NVI vaccination guidelines). The chickens were being followed up on a daily basis and examined clinically for signs of any diseases.</w:t>
      </w:r>
    </w:p>
    <w:p w14:paraId="7C05DE17">
      <w:pPr>
        <w:spacing w:line="240" w:lineRule="auto"/>
      </w:pPr>
    </w:p>
    <w:p w14:paraId="07CA8482">
      <w:pPr>
        <w:pStyle w:val="10"/>
        <w:spacing w:after="0" w:line="360" w:lineRule="auto"/>
        <w:rPr>
          <w:b w:val="0"/>
          <w:color w:val="auto"/>
          <w:sz w:val="24"/>
          <w:szCs w:val="24"/>
        </w:rPr>
      </w:pPr>
      <w:bookmarkStart w:id="19" w:name="_Toc168574016"/>
      <w:r>
        <w:rPr>
          <w:color w:val="auto"/>
          <w:sz w:val="24"/>
          <w:szCs w:val="24"/>
        </w:rPr>
        <w:t xml:space="preserve">Table </w:t>
      </w:r>
      <w:r>
        <w:rPr>
          <w:color w:val="auto"/>
          <w:sz w:val="24"/>
          <w:szCs w:val="24"/>
        </w:rPr>
        <w:fldChar w:fldCharType="begin"/>
      </w:r>
      <w:r>
        <w:rPr>
          <w:color w:val="auto"/>
          <w:sz w:val="24"/>
          <w:szCs w:val="24"/>
        </w:rPr>
        <w:instrText xml:space="preserve"> SEQ Table \* ARABIC </w:instrText>
      </w:r>
      <w:r>
        <w:rPr>
          <w:color w:val="auto"/>
          <w:sz w:val="24"/>
          <w:szCs w:val="24"/>
        </w:rPr>
        <w:fldChar w:fldCharType="separate"/>
      </w:r>
      <w:r>
        <w:rPr>
          <w:color w:val="auto"/>
          <w:sz w:val="24"/>
          <w:szCs w:val="24"/>
        </w:rPr>
        <w:t>1</w:t>
      </w:r>
      <w:r>
        <w:rPr>
          <w:color w:val="auto"/>
          <w:sz w:val="24"/>
          <w:szCs w:val="24"/>
        </w:rPr>
        <w:fldChar w:fldCharType="end"/>
      </w:r>
      <w:r>
        <w:rPr>
          <w:b w:val="0"/>
          <w:color w:val="auto"/>
          <w:sz w:val="24"/>
          <w:szCs w:val="24"/>
        </w:rPr>
        <w:t>: Experimental design of the two vaccines, parasite and the honey feed</w:t>
      </w:r>
      <w:bookmarkEnd w:id="19"/>
    </w:p>
    <w:tbl>
      <w:tblPr>
        <w:tblStyle w:val="8"/>
        <w:tblW w:w="0" w:type="auto"/>
        <w:tblInd w:w="0" w:type="dxa"/>
        <w:tblLayout w:type="autofit"/>
        <w:tblCellMar>
          <w:top w:w="0" w:type="dxa"/>
          <w:left w:w="108" w:type="dxa"/>
          <w:bottom w:w="0" w:type="dxa"/>
          <w:right w:w="108" w:type="dxa"/>
        </w:tblCellMar>
      </w:tblPr>
      <w:tblGrid>
        <w:gridCol w:w="1062"/>
        <w:gridCol w:w="1330"/>
        <w:gridCol w:w="3052"/>
        <w:gridCol w:w="1643"/>
        <w:gridCol w:w="1769"/>
      </w:tblGrid>
      <w:tr w14:paraId="414D1A91">
        <w:tblPrEx>
          <w:tblCellMar>
            <w:top w:w="0" w:type="dxa"/>
            <w:left w:w="108" w:type="dxa"/>
            <w:bottom w:w="0" w:type="dxa"/>
            <w:right w:w="108" w:type="dxa"/>
          </w:tblCellMar>
        </w:tblPrEx>
        <w:tc>
          <w:tcPr>
            <w:tcW w:w="1063" w:type="dxa"/>
            <w:tcBorders>
              <w:left w:val="nil"/>
              <w:bottom w:val="single" w:color="auto" w:sz="4" w:space="0"/>
              <w:right w:val="nil"/>
            </w:tcBorders>
          </w:tcPr>
          <w:p w14:paraId="17D6B592">
            <w:pPr>
              <w:rPr>
                <w:b/>
              </w:rPr>
            </w:pPr>
            <w:r>
              <w:rPr>
                <w:b/>
              </w:rPr>
              <w:t>Groups</w:t>
            </w:r>
          </w:p>
        </w:tc>
        <w:tc>
          <w:tcPr>
            <w:tcW w:w="1313" w:type="dxa"/>
            <w:tcBorders>
              <w:left w:val="nil"/>
              <w:bottom w:val="single" w:color="auto" w:sz="4" w:space="0"/>
              <w:right w:val="nil"/>
            </w:tcBorders>
          </w:tcPr>
          <w:p w14:paraId="71418412">
            <w:pPr>
              <w:rPr>
                <w:b/>
              </w:rPr>
            </w:pPr>
            <w:r>
              <w:rPr>
                <w:b/>
              </w:rPr>
              <w:t>Number of birds</w:t>
            </w:r>
          </w:p>
        </w:tc>
        <w:tc>
          <w:tcPr>
            <w:tcW w:w="3064" w:type="dxa"/>
            <w:tcBorders>
              <w:left w:val="nil"/>
              <w:bottom w:val="single" w:color="auto" w:sz="4" w:space="0"/>
              <w:right w:val="nil"/>
            </w:tcBorders>
          </w:tcPr>
          <w:p w14:paraId="11D54DF2">
            <w:pPr>
              <w:rPr>
                <w:b/>
              </w:rPr>
            </w:pPr>
            <w:r>
              <w:rPr>
                <w:b/>
              </w:rPr>
              <w:t>Status/type of group</w:t>
            </w:r>
          </w:p>
        </w:tc>
        <w:tc>
          <w:tcPr>
            <w:tcW w:w="1644" w:type="dxa"/>
            <w:tcBorders>
              <w:left w:val="nil"/>
              <w:bottom w:val="single" w:color="auto" w:sz="4" w:space="0"/>
              <w:right w:val="nil"/>
            </w:tcBorders>
          </w:tcPr>
          <w:p w14:paraId="1797C8BE">
            <w:pPr>
              <w:rPr>
                <w:b/>
              </w:rPr>
            </w:pPr>
            <w:r>
              <w:rPr>
                <w:b/>
              </w:rPr>
              <w:t>Vaccine type</w:t>
            </w:r>
          </w:p>
        </w:tc>
        <w:tc>
          <w:tcPr>
            <w:tcW w:w="1772" w:type="dxa"/>
            <w:tcBorders>
              <w:left w:val="nil"/>
              <w:bottom w:val="single" w:color="auto" w:sz="4" w:space="0"/>
              <w:right w:val="nil"/>
            </w:tcBorders>
          </w:tcPr>
          <w:p w14:paraId="77425042">
            <w:pPr>
              <w:rPr>
                <w:b/>
              </w:rPr>
            </w:pPr>
            <w:r>
              <w:rPr>
                <w:b/>
              </w:rPr>
              <w:t>Route of vaccine</w:t>
            </w:r>
          </w:p>
        </w:tc>
      </w:tr>
      <w:tr w14:paraId="5E98A9B1">
        <w:tblPrEx>
          <w:tblCellMar>
            <w:top w:w="0" w:type="dxa"/>
            <w:left w:w="108" w:type="dxa"/>
            <w:bottom w:w="0" w:type="dxa"/>
            <w:right w:w="108" w:type="dxa"/>
          </w:tblCellMar>
        </w:tblPrEx>
        <w:tc>
          <w:tcPr>
            <w:tcW w:w="1063" w:type="dxa"/>
            <w:tcBorders>
              <w:top w:val="single" w:color="auto" w:sz="4" w:space="0"/>
              <w:left w:val="nil"/>
              <w:bottom w:val="nil"/>
              <w:right w:val="nil"/>
            </w:tcBorders>
          </w:tcPr>
          <w:p w14:paraId="332C83C0">
            <w:r>
              <w:t>1</w:t>
            </w:r>
          </w:p>
        </w:tc>
        <w:tc>
          <w:tcPr>
            <w:tcW w:w="1313" w:type="dxa"/>
            <w:tcBorders>
              <w:top w:val="single" w:color="auto" w:sz="4" w:space="0"/>
              <w:left w:val="nil"/>
              <w:bottom w:val="nil"/>
              <w:right w:val="nil"/>
            </w:tcBorders>
          </w:tcPr>
          <w:p w14:paraId="58D2BF86">
            <w:r>
              <w:t>11</w:t>
            </w:r>
          </w:p>
        </w:tc>
        <w:tc>
          <w:tcPr>
            <w:tcW w:w="3064" w:type="dxa"/>
            <w:tcBorders>
              <w:top w:val="single" w:color="auto" w:sz="4" w:space="0"/>
              <w:left w:val="nil"/>
              <w:bottom w:val="nil"/>
              <w:right w:val="nil"/>
            </w:tcBorders>
          </w:tcPr>
          <w:p w14:paraId="04E78376">
            <w:r>
              <w:rPr>
                <w:i/>
              </w:rPr>
              <w:t>A.galli</w:t>
            </w:r>
            <w:r>
              <w:t xml:space="preserve"> infected-vaccinated</w:t>
            </w:r>
          </w:p>
        </w:tc>
        <w:tc>
          <w:tcPr>
            <w:tcW w:w="1644" w:type="dxa"/>
            <w:tcBorders>
              <w:top w:val="single" w:color="auto" w:sz="4" w:space="0"/>
              <w:left w:val="nil"/>
              <w:bottom w:val="nil"/>
              <w:right w:val="nil"/>
            </w:tcBorders>
          </w:tcPr>
          <w:p w14:paraId="7C6B179A">
            <w:r>
              <w:t>HB1+LaSota</w:t>
            </w:r>
          </w:p>
        </w:tc>
        <w:tc>
          <w:tcPr>
            <w:tcW w:w="1772" w:type="dxa"/>
            <w:tcBorders>
              <w:top w:val="single" w:color="auto" w:sz="4" w:space="0"/>
              <w:left w:val="nil"/>
              <w:bottom w:val="nil"/>
              <w:right w:val="nil"/>
            </w:tcBorders>
          </w:tcPr>
          <w:p w14:paraId="586FAC7E">
            <w:r>
              <w:t xml:space="preserve">Intraocular </w:t>
            </w:r>
          </w:p>
        </w:tc>
      </w:tr>
      <w:tr w14:paraId="54507EE9">
        <w:tblPrEx>
          <w:tblCellMar>
            <w:top w:w="0" w:type="dxa"/>
            <w:left w:w="108" w:type="dxa"/>
            <w:bottom w:w="0" w:type="dxa"/>
            <w:right w:w="108" w:type="dxa"/>
          </w:tblCellMar>
        </w:tblPrEx>
        <w:trPr>
          <w:trHeight w:val="610" w:hRule="atLeast"/>
        </w:trPr>
        <w:tc>
          <w:tcPr>
            <w:tcW w:w="1063" w:type="dxa"/>
            <w:tcBorders>
              <w:top w:val="nil"/>
              <w:left w:val="nil"/>
              <w:bottom w:val="nil"/>
              <w:right w:val="nil"/>
            </w:tcBorders>
          </w:tcPr>
          <w:p w14:paraId="6A27EA61">
            <w:r>
              <w:t>2</w:t>
            </w:r>
          </w:p>
        </w:tc>
        <w:tc>
          <w:tcPr>
            <w:tcW w:w="1313" w:type="dxa"/>
            <w:tcBorders>
              <w:top w:val="nil"/>
              <w:left w:val="nil"/>
              <w:bottom w:val="nil"/>
              <w:right w:val="nil"/>
            </w:tcBorders>
          </w:tcPr>
          <w:p w14:paraId="0E50F20F">
            <w:r>
              <w:t>11</w:t>
            </w:r>
          </w:p>
        </w:tc>
        <w:tc>
          <w:tcPr>
            <w:tcW w:w="3064" w:type="dxa"/>
            <w:tcBorders>
              <w:top w:val="nil"/>
              <w:left w:val="nil"/>
              <w:bottom w:val="nil"/>
              <w:right w:val="nil"/>
            </w:tcBorders>
          </w:tcPr>
          <w:p w14:paraId="486E9AF0">
            <w:pPr>
              <w:spacing w:line="240" w:lineRule="auto"/>
              <w:jc w:val="center"/>
            </w:pPr>
            <w:r>
              <w:rPr>
                <w:i/>
              </w:rPr>
              <w:t>A.galli</w:t>
            </w:r>
            <w:r>
              <w:t xml:space="preserve"> non-infected- vaccinated</w:t>
            </w:r>
          </w:p>
        </w:tc>
        <w:tc>
          <w:tcPr>
            <w:tcW w:w="1644" w:type="dxa"/>
            <w:tcBorders>
              <w:top w:val="nil"/>
              <w:left w:val="nil"/>
              <w:bottom w:val="nil"/>
              <w:right w:val="nil"/>
            </w:tcBorders>
          </w:tcPr>
          <w:p w14:paraId="441795F0">
            <w:r>
              <w:t>HB1+LaSota</w:t>
            </w:r>
          </w:p>
        </w:tc>
        <w:tc>
          <w:tcPr>
            <w:tcW w:w="1772" w:type="dxa"/>
            <w:tcBorders>
              <w:top w:val="nil"/>
              <w:left w:val="nil"/>
              <w:bottom w:val="nil"/>
              <w:right w:val="nil"/>
            </w:tcBorders>
          </w:tcPr>
          <w:p w14:paraId="671AAB2C">
            <w:r>
              <w:t xml:space="preserve">Intraocular </w:t>
            </w:r>
          </w:p>
        </w:tc>
      </w:tr>
      <w:tr w14:paraId="1B1ED337">
        <w:tblPrEx>
          <w:tblCellMar>
            <w:top w:w="0" w:type="dxa"/>
            <w:left w:w="108" w:type="dxa"/>
            <w:bottom w:w="0" w:type="dxa"/>
            <w:right w:w="108" w:type="dxa"/>
          </w:tblCellMar>
        </w:tblPrEx>
        <w:trPr>
          <w:trHeight w:val="656" w:hRule="atLeast"/>
        </w:trPr>
        <w:tc>
          <w:tcPr>
            <w:tcW w:w="1063" w:type="dxa"/>
            <w:tcBorders>
              <w:top w:val="nil"/>
              <w:left w:val="nil"/>
              <w:bottom w:val="nil"/>
              <w:right w:val="nil"/>
            </w:tcBorders>
          </w:tcPr>
          <w:p w14:paraId="641A28C6">
            <w:r>
              <w:t>3</w:t>
            </w:r>
          </w:p>
        </w:tc>
        <w:tc>
          <w:tcPr>
            <w:tcW w:w="1313" w:type="dxa"/>
            <w:tcBorders>
              <w:top w:val="nil"/>
              <w:left w:val="nil"/>
              <w:bottom w:val="nil"/>
              <w:right w:val="nil"/>
            </w:tcBorders>
          </w:tcPr>
          <w:p w14:paraId="0FFECAD7">
            <w:r>
              <w:t>11</w:t>
            </w:r>
          </w:p>
        </w:tc>
        <w:tc>
          <w:tcPr>
            <w:tcW w:w="3064" w:type="dxa"/>
            <w:tcBorders>
              <w:top w:val="nil"/>
              <w:left w:val="nil"/>
              <w:bottom w:val="nil"/>
              <w:right w:val="nil"/>
            </w:tcBorders>
          </w:tcPr>
          <w:p w14:paraId="6299B706">
            <w:r>
              <w:rPr>
                <w:i/>
              </w:rPr>
              <w:t>A.galli</w:t>
            </w:r>
            <w:r>
              <w:t xml:space="preserve"> infected -vaccinated</w:t>
            </w:r>
          </w:p>
        </w:tc>
        <w:tc>
          <w:tcPr>
            <w:tcW w:w="1644" w:type="dxa"/>
            <w:tcBorders>
              <w:top w:val="nil"/>
              <w:left w:val="nil"/>
              <w:bottom w:val="nil"/>
              <w:right w:val="nil"/>
            </w:tcBorders>
          </w:tcPr>
          <w:p w14:paraId="77DEFCD3">
            <w:r>
              <w:t>NCTH</w:t>
            </w:r>
          </w:p>
        </w:tc>
        <w:tc>
          <w:tcPr>
            <w:tcW w:w="1772" w:type="dxa"/>
            <w:tcBorders>
              <w:top w:val="nil"/>
              <w:left w:val="nil"/>
              <w:bottom w:val="nil"/>
              <w:right w:val="nil"/>
            </w:tcBorders>
          </w:tcPr>
          <w:p w14:paraId="58EE041B">
            <w:r>
              <w:t xml:space="preserve">Intraocular </w:t>
            </w:r>
          </w:p>
        </w:tc>
      </w:tr>
      <w:tr w14:paraId="06D04BF8">
        <w:tblPrEx>
          <w:tblCellMar>
            <w:top w:w="0" w:type="dxa"/>
            <w:left w:w="108" w:type="dxa"/>
            <w:bottom w:w="0" w:type="dxa"/>
            <w:right w:w="108" w:type="dxa"/>
          </w:tblCellMar>
        </w:tblPrEx>
        <w:trPr>
          <w:trHeight w:val="628" w:hRule="atLeast"/>
        </w:trPr>
        <w:tc>
          <w:tcPr>
            <w:tcW w:w="1063" w:type="dxa"/>
            <w:tcBorders>
              <w:top w:val="nil"/>
              <w:left w:val="nil"/>
              <w:bottom w:val="nil"/>
              <w:right w:val="nil"/>
            </w:tcBorders>
          </w:tcPr>
          <w:p w14:paraId="2BB00AA4">
            <w:r>
              <w:t>4</w:t>
            </w:r>
          </w:p>
        </w:tc>
        <w:tc>
          <w:tcPr>
            <w:tcW w:w="1313" w:type="dxa"/>
            <w:tcBorders>
              <w:top w:val="nil"/>
              <w:left w:val="nil"/>
              <w:bottom w:val="nil"/>
              <w:right w:val="nil"/>
            </w:tcBorders>
          </w:tcPr>
          <w:p w14:paraId="26068C88">
            <w:r>
              <w:t>11</w:t>
            </w:r>
          </w:p>
        </w:tc>
        <w:tc>
          <w:tcPr>
            <w:tcW w:w="3064" w:type="dxa"/>
            <w:tcBorders>
              <w:top w:val="nil"/>
              <w:left w:val="nil"/>
              <w:bottom w:val="nil"/>
              <w:right w:val="nil"/>
            </w:tcBorders>
          </w:tcPr>
          <w:p w14:paraId="21F79D2C">
            <w:pPr>
              <w:jc w:val="center"/>
            </w:pPr>
            <w:r>
              <w:rPr>
                <w:i/>
              </w:rPr>
              <w:t>A.galli</w:t>
            </w:r>
            <w:r>
              <w:t xml:space="preserve"> non infected -vaccinated</w:t>
            </w:r>
          </w:p>
        </w:tc>
        <w:tc>
          <w:tcPr>
            <w:tcW w:w="1644" w:type="dxa"/>
            <w:tcBorders>
              <w:top w:val="nil"/>
              <w:left w:val="nil"/>
              <w:bottom w:val="nil"/>
              <w:right w:val="nil"/>
            </w:tcBorders>
          </w:tcPr>
          <w:p w14:paraId="6BDBC322">
            <w:r>
              <w:t>NCTH</w:t>
            </w:r>
          </w:p>
        </w:tc>
        <w:tc>
          <w:tcPr>
            <w:tcW w:w="1772" w:type="dxa"/>
            <w:tcBorders>
              <w:top w:val="nil"/>
              <w:left w:val="nil"/>
              <w:bottom w:val="nil"/>
              <w:right w:val="nil"/>
            </w:tcBorders>
          </w:tcPr>
          <w:p w14:paraId="3CC99CFC">
            <w:r>
              <w:t xml:space="preserve">Intraocular </w:t>
            </w:r>
          </w:p>
        </w:tc>
      </w:tr>
      <w:tr w14:paraId="657EFB37">
        <w:tblPrEx>
          <w:tblCellMar>
            <w:top w:w="0" w:type="dxa"/>
            <w:left w:w="108" w:type="dxa"/>
            <w:bottom w:w="0" w:type="dxa"/>
            <w:right w:w="108" w:type="dxa"/>
          </w:tblCellMar>
        </w:tblPrEx>
        <w:tc>
          <w:tcPr>
            <w:tcW w:w="1063" w:type="dxa"/>
            <w:tcBorders>
              <w:top w:val="nil"/>
              <w:left w:val="nil"/>
              <w:bottom w:val="nil"/>
              <w:right w:val="nil"/>
            </w:tcBorders>
          </w:tcPr>
          <w:p w14:paraId="2961C470">
            <w:r>
              <w:t>5</w:t>
            </w:r>
          </w:p>
        </w:tc>
        <w:tc>
          <w:tcPr>
            <w:tcW w:w="1313" w:type="dxa"/>
            <w:tcBorders>
              <w:top w:val="nil"/>
              <w:left w:val="nil"/>
              <w:bottom w:val="nil"/>
              <w:right w:val="nil"/>
            </w:tcBorders>
          </w:tcPr>
          <w:p w14:paraId="34581028">
            <w:r>
              <w:t>11</w:t>
            </w:r>
          </w:p>
        </w:tc>
        <w:tc>
          <w:tcPr>
            <w:tcW w:w="3064" w:type="dxa"/>
            <w:tcBorders>
              <w:top w:val="nil"/>
              <w:left w:val="nil"/>
              <w:bottom w:val="nil"/>
              <w:right w:val="nil"/>
            </w:tcBorders>
          </w:tcPr>
          <w:p w14:paraId="6250B4DF">
            <w:r>
              <w:t>Honey fed-vaccinated</w:t>
            </w:r>
          </w:p>
        </w:tc>
        <w:tc>
          <w:tcPr>
            <w:tcW w:w="1644" w:type="dxa"/>
            <w:tcBorders>
              <w:top w:val="nil"/>
              <w:left w:val="nil"/>
              <w:bottom w:val="nil"/>
              <w:right w:val="nil"/>
            </w:tcBorders>
          </w:tcPr>
          <w:p w14:paraId="497876D0">
            <w:r>
              <w:t>HB1+Lasota</w:t>
            </w:r>
          </w:p>
        </w:tc>
        <w:tc>
          <w:tcPr>
            <w:tcW w:w="1772" w:type="dxa"/>
            <w:tcBorders>
              <w:top w:val="nil"/>
              <w:left w:val="nil"/>
              <w:bottom w:val="nil"/>
              <w:right w:val="nil"/>
            </w:tcBorders>
          </w:tcPr>
          <w:p w14:paraId="5E257FC2">
            <w:r>
              <w:t xml:space="preserve">Intraocular </w:t>
            </w:r>
          </w:p>
        </w:tc>
      </w:tr>
      <w:tr w14:paraId="40A7DBDE">
        <w:tblPrEx>
          <w:tblCellMar>
            <w:top w:w="0" w:type="dxa"/>
            <w:left w:w="108" w:type="dxa"/>
            <w:bottom w:w="0" w:type="dxa"/>
            <w:right w:w="108" w:type="dxa"/>
          </w:tblCellMar>
        </w:tblPrEx>
        <w:trPr>
          <w:trHeight w:val="311" w:hRule="atLeast"/>
        </w:trPr>
        <w:tc>
          <w:tcPr>
            <w:tcW w:w="1063" w:type="dxa"/>
            <w:tcBorders>
              <w:top w:val="nil"/>
              <w:left w:val="nil"/>
              <w:bottom w:val="nil"/>
              <w:right w:val="nil"/>
            </w:tcBorders>
          </w:tcPr>
          <w:p w14:paraId="50AB4EB8">
            <w:r>
              <w:t>6</w:t>
            </w:r>
          </w:p>
        </w:tc>
        <w:tc>
          <w:tcPr>
            <w:tcW w:w="1313" w:type="dxa"/>
            <w:tcBorders>
              <w:top w:val="nil"/>
              <w:left w:val="nil"/>
              <w:bottom w:val="nil"/>
              <w:right w:val="nil"/>
            </w:tcBorders>
          </w:tcPr>
          <w:p w14:paraId="2D6A6F65">
            <w:r>
              <w:t>11</w:t>
            </w:r>
          </w:p>
        </w:tc>
        <w:tc>
          <w:tcPr>
            <w:tcW w:w="3064" w:type="dxa"/>
            <w:tcBorders>
              <w:top w:val="nil"/>
              <w:left w:val="nil"/>
              <w:bottom w:val="nil"/>
              <w:right w:val="nil"/>
            </w:tcBorders>
          </w:tcPr>
          <w:p w14:paraId="00673BE4">
            <w:r>
              <w:t>Honey fed- vaccinated</w:t>
            </w:r>
          </w:p>
        </w:tc>
        <w:tc>
          <w:tcPr>
            <w:tcW w:w="1644" w:type="dxa"/>
            <w:tcBorders>
              <w:top w:val="nil"/>
              <w:left w:val="nil"/>
              <w:bottom w:val="nil"/>
              <w:right w:val="nil"/>
            </w:tcBorders>
          </w:tcPr>
          <w:p w14:paraId="028C2EAC">
            <w:r>
              <w:t>NCTH</w:t>
            </w:r>
          </w:p>
        </w:tc>
        <w:tc>
          <w:tcPr>
            <w:tcW w:w="1772" w:type="dxa"/>
            <w:tcBorders>
              <w:top w:val="nil"/>
              <w:left w:val="nil"/>
              <w:bottom w:val="nil"/>
              <w:right w:val="nil"/>
            </w:tcBorders>
          </w:tcPr>
          <w:p w14:paraId="3CE0DDC9">
            <w:r>
              <w:t xml:space="preserve">Intraocular </w:t>
            </w:r>
          </w:p>
        </w:tc>
      </w:tr>
      <w:tr w14:paraId="08AEFD62">
        <w:tblPrEx>
          <w:tblCellMar>
            <w:top w:w="0" w:type="dxa"/>
            <w:left w:w="108" w:type="dxa"/>
            <w:bottom w:w="0" w:type="dxa"/>
            <w:right w:w="108" w:type="dxa"/>
          </w:tblCellMar>
        </w:tblPrEx>
        <w:tc>
          <w:tcPr>
            <w:tcW w:w="1063" w:type="dxa"/>
            <w:tcBorders>
              <w:top w:val="nil"/>
              <w:left w:val="nil"/>
              <w:bottom w:val="nil"/>
              <w:right w:val="nil"/>
            </w:tcBorders>
          </w:tcPr>
          <w:p w14:paraId="6D96E2E8">
            <w:r>
              <w:t>7</w:t>
            </w:r>
          </w:p>
        </w:tc>
        <w:tc>
          <w:tcPr>
            <w:tcW w:w="1313" w:type="dxa"/>
            <w:tcBorders>
              <w:top w:val="nil"/>
              <w:left w:val="nil"/>
              <w:bottom w:val="nil"/>
              <w:right w:val="nil"/>
            </w:tcBorders>
          </w:tcPr>
          <w:p w14:paraId="30E5E7CA">
            <w:r>
              <w:t>11</w:t>
            </w:r>
          </w:p>
        </w:tc>
        <w:tc>
          <w:tcPr>
            <w:tcW w:w="3064" w:type="dxa"/>
            <w:tcBorders>
              <w:top w:val="nil"/>
              <w:left w:val="nil"/>
              <w:bottom w:val="nil"/>
              <w:right w:val="nil"/>
            </w:tcBorders>
          </w:tcPr>
          <w:p w14:paraId="29EB55EE">
            <w:r>
              <w:rPr>
                <w:i/>
              </w:rPr>
              <w:t>A.galli</w:t>
            </w:r>
            <w:r>
              <w:t xml:space="preserve"> infected</w:t>
            </w:r>
          </w:p>
        </w:tc>
        <w:tc>
          <w:tcPr>
            <w:tcW w:w="1644" w:type="dxa"/>
            <w:tcBorders>
              <w:top w:val="nil"/>
              <w:left w:val="nil"/>
              <w:bottom w:val="nil"/>
              <w:right w:val="nil"/>
            </w:tcBorders>
          </w:tcPr>
          <w:p w14:paraId="257B79DF">
            <w:r>
              <w:t>No</w:t>
            </w:r>
          </w:p>
        </w:tc>
        <w:tc>
          <w:tcPr>
            <w:tcW w:w="1772" w:type="dxa"/>
            <w:tcBorders>
              <w:top w:val="nil"/>
              <w:left w:val="nil"/>
              <w:bottom w:val="nil"/>
              <w:right w:val="nil"/>
            </w:tcBorders>
          </w:tcPr>
          <w:p w14:paraId="3510C1D9">
            <w:r>
              <w:t xml:space="preserve">Intraocular </w:t>
            </w:r>
          </w:p>
        </w:tc>
      </w:tr>
      <w:tr w14:paraId="1947CF7B">
        <w:tblPrEx>
          <w:tblCellMar>
            <w:top w:w="0" w:type="dxa"/>
            <w:left w:w="108" w:type="dxa"/>
            <w:bottom w:w="0" w:type="dxa"/>
            <w:right w:w="108" w:type="dxa"/>
          </w:tblCellMar>
        </w:tblPrEx>
        <w:tc>
          <w:tcPr>
            <w:tcW w:w="1063" w:type="dxa"/>
            <w:tcBorders>
              <w:top w:val="nil"/>
              <w:left w:val="nil"/>
              <w:bottom w:val="nil"/>
              <w:right w:val="nil"/>
            </w:tcBorders>
          </w:tcPr>
          <w:p w14:paraId="1026CB7B">
            <w:r>
              <w:t>8</w:t>
            </w:r>
          </w:p>
        </w:tc>
        <w:tc>
          <w:tcPr>
            <w:tcW w:w="1313" w:type="dxa"/>
            <w:tcBorders>
              <w:top w:val="nil"/>
              <w:left w:val="nil"/>
              <w:bottom w:val="nil"/>
              <w:right w:val="nil"/>
            </w:tcBorders>
          </w:tcPr>
          <w:p w14:paraId="0E636DFF">
            <w:r>
              <w:t>11</w:t>
            </w:r>
          </w:p>
        </w:tc>
        <w:tc>
          <w:tcPr>
            <w:tcW w:w="3064" w:type="dxa"/>
            <w:tcBorders>
              <w:top w:val="nil"/>
              <w:left w:val="nil"/>
              <w:bottom w:val="nil"/>
              <w:right w:val="nil"/>
            </w:tcBorders>
          </w:tcPr>
          <w:p w14:paraId="553B6A04">
            <w:r>
              <w:t xml:space="preserve">Honey fed </w:t>
            </w:r>
          </w:p>
        </w:tc>
        <w:tc>
          <w:tcPr>
            <w:tcW w:w="1644" w:type="dxa"/>
            <w:tcBorders>
              <w:top w:val="nil"/>
              <w:left w:val="nil"/>
              <w:bottom w:val="nil"/>
              <w:right w:val="nil"/>
            </w:tcBorders>
          </w:tcPr>
          <w:p w14:paraId="56267981">
            <w:r>
              <w:t>No</w:t>
            </w:r>
          </w:p>
        </w:tc>
        <w:tc>
          <w:tcPr>
            <w:tcW w:w="1772" w:type="dxa"/>
            <w:tcBorders>
              <w:top w:val="nil"/>
              <w:left w:val="nil"/>
              <w:bottom w:val="nil"/>
              <w:right w:val="nil"/>
            </w:tcBorders>
          </w:tcPr>
          <w:p w14:paraId="6DE442C4">
            <w:r>
              <w:t xml:space="preserve">Oral </w:t>
            </w:r>
          </w:p>
        </w:tc>
      </w:tr>
      <w:tr w14:paraId="354A6E5E">
        <w:tblPrEx>
          <w:tblCellMar>
            <w:top w:w="0" w:type="dxa"/>
            <w:left w:w="108" w:type="dxa"/>
            <w:bottom w:w="0" w:type="dxa"/>
            <w:right w:w="108" w:type="dxa"/>
          </w:tblCellMar>
        </w:tblPrEx>
        <w:tc>
          <w:tcPr>
            <w:tcW w:w="1063" w:type="dxa"/>
            <w:tcBorders>
              <w:top w:val="nil"/>
              <w:left w:val="nil"/>
              <w:bottom w:val="single" w:color="auto" w:sz="4" w:space="0"/>
              <w:right w:val="nil"/>
            </w:tcBorders>
          </w:tcPr>
          <w:p w14:paraId="5AEAD75B">
            <w:r>
              <w:t>9</w:t>
            </w:r>
          </w:p>
        </w:tc>
        <w:tc>
          <w:tcPr>
            <w:tcW w:w="1313" w:type="dxa"/>
            <w:tcBorders>
              <w:top w:val="nil"/>
              <w:left w:val="nil"/>
              <w:bottom w:val="single" w:color="auto" w:sz="4" w:space="0"/>
              <w:right w:val="nil"/>
            </w:tcBorders>
          </w:tcPr>
          <w:p w14:paraId="3B222759">
            <w:r>
              <w:t>11</w:t>
            </w:r>
          </w:p>
        </w:tc>
        <w:tc>
          <w:tcPr>
            <w:tcW w:w="3064" w:type="dxa"/>
            <w:tcBorders>
              <w:top w:val="nil"/>
              <w:left w:val="nil"/>
              <w:bottom w:val="single" w:color="auto" w:sz="4" w:space="0"/>
              <w:right w:val="nil"/>
            </w:tcBorders>
          </w:tcPr>
          <w:p w14:paraId="7DFA29BA">
            <w:r>
              <w:t xml:space="preserve">No </w:t>
            </w:r>
            <w:r>
              <w:rPr>
                <w:i/>
              </w:rPr>
              <w:t>A.galli</w:t>
            </w:r>
            <w:r>
              <w:t xml:space="preserve">  infected-Not</w:t>
            </w:r>
          </w:p>
          <w:p w14:paraId="1A7C4E44">
            <w:r>
              <w:t xml:space="preserve"> vaccinated-Not honey fed</w:t>
            </w:r>
          </w:p>
        </w:tc>
        <w:tc>
          <w:tcPr>
            <w:tcW w:w="1644" w:type="dxa"/>
            <w:tcBorders>
              <w:top w:val="nil"/>
              <w:left w:val="nil"/>
              <w:bottom w:val="single" w:color="auto" w:sz="4" w:space="0"/>
              <w:right w:val="nil"/>
            </w:tcBorders>
          </w:tcPr>
          <w:p w14:paraId="4DFDDD10">
            <w:r>
              <w:t>No</w:t>
            </w:r>
          </w:p>
        </w:tc>
        <w:tc>
          <w:tcPr>
            <w:tcW w:w="1772" w:type="dxa"/>
            <w:tcBorders>
              <w:top w:val="nil"/>
              <w:left w:val="nil"/>
              <w:bottom w:val="single" w:color="auto" w:sz="4" w:space="0"/>
              <w:right w:val="nil"/>
            </w:tcBorders>
          </w:tcPr>
          <w:p w14:paraId="5B19B8F0">
            <w:r>
              <w:t>-------------</w:t>
            </w:r>
          </w:p>
        </w:tc>
      </w:tr>
    </w:tbl>
    <w:p w14:paraId="69B933EF">
      <w:pPr>
        <w:spacing w:line="240" w:lineRule="auto"/>
      </w:pPr>
    </w:p>
    <w:p w14:paraId="0047A44D">
      <w:pPr>
        <w:pStyle w:val="4"/>
        <w:spacing w:before="0" w:after="0"/>
      </w:pPr>
      <w:bookmarkStart w:id="20" w:name="_Toc168523125"/>
      <w:bookmarkStart w:id="21" w:name="_Toc170937962"/>
      <w:bookmarkStart w:id="22" w:name="_Toc168390140"/>
      <w:r>
        <w:t>3.3.1. Parasite infection</w:t>
      </w:r>
      <w:bookmarkEnd w:id="20"/>
      <w:bookmarkEnd w:id="21"/>
      <w:bookmarkEnd w:id="22"/>
    </w:p>
    <w:p w14:paraId="5A78C46E">
      <w:pPr>
        <w:spacing w:line="240" w:lineRule="auto"/>
      </w:pPr>
    </w:p>
    <w:p w14:paraId="271BF1DE">
      <w:r>
        <w:rPr>
          <w:i/>
        </w:rPr>
        <w:t>Ascaridia galli</w:t>
      </w:r>
      <w:r>
        <w:t xml:space="preserve"> eggs used to induce infection were obtained from physical removal from, or disruption of the worm’s uterus. The eggs had been isolated from worm uteri and put 600 eggs in a cryovial to embryonated and incubated in 0.1% potassium dichromate for 28 days at room temperature (21-26</w:t>
      </w:r>
      <w:r>
        <w:rPr>
          <w:vertAlign w:val="superscript"/>
        </w:rPr>
        <w:t>o</w:t>
      </w:r>
      <w:r>
        <w:t xml:space="preserve">C) (Rahimian </w:t>
      </w:r>
      <w:r>
        <w:rPr>
          <w:i/>
        </w:rPr>
        <w:t>et al</w:t>
      </w:r>
      <w:r>
        <w:t>., 2016). A small quantity of medium was added occasionally to maintain a constant volume.</w:t>
      </w:r>
    </w:p>
    <w:p w14:paraId="5328E787">
      <w:pPr>
        <w:spacing w:line="240" w:lineRule="auto"/>
      </w:pPr>
    </w:p>
    <w:p w14:paraId="7EF01654">
      <w:r>
        <w:t>These samples were then subjected to each condition, and after the relevant treatment periods, eggs were monitored for viability and development. Then these eggs were given orally to chickens in treatment groups. Infection was done at 3</w:t>
      </w:r>
      <w:r>
        <w:rPr>
          <w:vertAlign w:val="superscript"/>
        </w:rPr>
        <w:t>rd</w:t>
      </w:r>
      <w:r>
        <w:t xml:space="preserve"> day of age  using a plastic Pasteur pipette with a dose of</w:t>
      </w:r>
      <w:r>
        <w:rPr>
          <w:color w:val="FF0000"/>
        </w:rPr>
        <w:t xml:space="preserve"> </w:t>
      </w:r>
      <w:r>
        <w:t xml:space="preserve">500 embryonated </w:t>
      </w:r>
      <w:r>
        <w:rPr>
          <w:i/>
        </w:rPr>
        <w:t>A. galli</w:t>
      </w:r>
      <w:r>
        <w:t xml:space="preserve"> eggs  (Table 2)</w:t>
      </w:r>
      <w:r>
        <w:rPr>
          <w:color w:val="FF0000"/>
        </w:rPr>
        <w:t xml:space="preserve"> </w:t>
      </w:r>
      <w:r>
        <w:t>(</w:t>
      </w:r>
      <w:r>
        <w:rPr>
          <w:rFonts w:eastAsia="Times New Roman" w:cs="Times New Roman"/>
          <w:szCs w:val="24"/>
        </w:rPr>
        <w:t>Sharma</w:t>
      </w:r>
      <w:r>
        <w:t xml:space="preserve"> </w:t>
      </w:r>
      <w:r>
        <w:rPr>
          <w:i/>
        </w:rPr>
        <w:t>et al</w:t>
      </w:r>
      <w:r>
        <w:t xml:space="preserve">., 2017) per bird as described by Permin </w:t>
      </w:r>
      <w:r>
        <w:rPr>
          <w:i/>
        </w:rPr>
        <w:t>et al</w:t>
      </w:r>
      <w:r>
        <w:t>. (1998) and the honey was fed through their routine feed (water) starting from 6</w:t>
      </w:r>
      <w:r>
        <w:rPr>
          <w:vertAlign w:val="superscript"/>
        </w:rPr>
        <w:t>th</w:t>
      </w:r>
      <w:r>
        <w:t xml:space="preserve"> day-old and continued till the end. </w:t>
      </w:r>
    </w:p>
    <w:p w14:paraId="78E4ADCF">
      <w:pPr>
        <w:spacing w:line="240" w:lineRule="auto"/>
      </w:pPr>
    </w:p>
    <w:p w14:paraId="3225D9A0">
      <w:pPr>
        <w:pStyle w:val="10"/>
        <w:spacing w:after="0" w:line="360" w:lineRule="auto"/>
        <w:rPr>
          <w:b w:val="0"/>
          <w:color w:val="auto"/>
          <w:sz w:val="24"/>
          <w:szCs w:val="24"/>
        </w:rPr>
      </w:pPr>
      <w:bookmarkStart w:id="23" w:name="_Toc168574017"/>
      <w:r>
        <w:rPr>
          <w:color w:val="auto"/>
          <w:sz w:val="24"/>
          <w:szCs w:val="24"/>
        </w:rPr>
        <w:t xml:space="preserve">Table </w:t>
      </w:r>
      <w:r>
        <w:rPr>
          <w:color w:val="auto"/>
          <w:sz w:val="24"/>
          <w:szCs w:val="24"/>
        </w:rPr>
        <w:fldChar w:fldCharType="begin"/>
      </w:r>
      <w:r>
        <w:rPr>
          <w:color w:val="auto"/>
          <w:sz w:val="24"/>
          <w:szCs w:val="24"/>
        </w:rPr>
        <w:instrText xml:space="preserve"> SEQ Table \* ARABIC </w:instrText>
      </w:r>
      <w:r>
        <w:rPr>
          <w:color w:val="auto"/>
          <w:sz w:val="24"/>
          <w:szCs w:val="24"/>
        </w:rPr>
        <w:fldChar w:fldCharType="separate"/>
      </w:r>
      <w:r>
        <w:rPr>
          <w:color w:val="auto"/>
          <w:sz w:val="24"/>
          <w:szCs w:val="24"/>
        </w:rPr>
        <w:t>2</w:t>
      </w:r>
      <w:r>
        <w:rPr>
          <w:color w:val="auto"/>
          <w:sz w:val="24"/>
          <w:szCs w:val="24"/>
        </w:rPr>
        <w:fldChar w:fldCharType="end"/>
      </w:r>
      <w:r>
        <w:rPr>
          <w:b w:val="0"/>
          <w:color w:val="auto"/>
          <w:sz w:val="24"/>
          <w:szCs w:val="24"/>
        </w:rPr>
        <w:t xml:space="preserve">:  Infection with </w:t>
      </w:r>
      <w:r>
        <w:rPr>
          <w:b w:val="0"/>
          <w:i/>
          <w:color w:val="auto"/>
          <w:sz w:val="24"/>
          <w:szCs w:val="24"/>
        </w:rPr>
        <w:t>A. galli</w:t>
      </w:r>
      <w:r>
        <w:rPr>
          <w:b w:val="0"/>
          <w:color w:val="auto"/>
          <w:sz w:val="24"/>
          <w:szCs w:val="24"/>
        </w:rPr>
        <w:t xml:space="preserve"> eggs model (treatment groups)</w:t>
      </w:r>
      <w:bookmarkEnd w:id="23"/>
    </w:p>
    <w:tbl>
      <w:tblPr>
        <w:tblStyle w:val="8"/>
        <w:tblW w:w="0" w:type="auto"/>
        <w:tblInd w:w="0" w:type="dxa"/>
        <w:tblLayout w:type="autofit"/>
        <w:tblCellMar>
          <w:top w:w="0" w:type="dxa"/>
          <w:left w:w="108" w:type="dxa"/>
          <w:bottom w:w="0" w:type="dxa"/>
          <w:right w:w="108" w:type="dxa"/>
        </w:tblCellMar>
      </w:tblPr>
      <w:tblGrid>
        <w:gridCol w:w="3402"/>
        <w:gridCol w:w="1951"/>
        <w:gridCol w:w="1701"/>
        <w:gridCol w:w="1559"/>
      </w:tblGrid>
      <w:tr w14:paraId="14C5EFBA">
        <w:tblPrEx>
          <w:tblCellMar>
            <w:top w:w="0" w:type="dxa"/>
            <w:left w:w="108" w:type="dxa"/>
            <w:bottom w:w="0" w:type="dxa"/>
            <w:right w:w="108" w:type="dxa"/>
          </w:tblCellMar>
        </w:tblPrEx>
        <w:trPr>
          <w:trHeight w:val="323" w:hRule="atLeast"/>
        </w:trPr>
        <w:tc>
          <w:tcPr>
            <w:tcW w:w="3402" w:type="dxa"/>
            <w:tcBorders>
              <w:left w:val="nil"/>
              <w:bottom w:val="single" w:color="auto" w:sz="4" w:space="0"/>
              <w:right w:val="nil"/>
            </w:tcBorders>
          </w:tcPr>
          <w:p w14:paraId="5D1F57FF">
            <w:pPr>
              <w:rPr>
                <w:b/>
              </w:rPr>
            </w:pPr>
            <w:r>
              <w:rPr>
                <w:b/>
              </w:rPr>
              <w:t>Details</w:t>
            </w:r>
          </w:p>
        </w:tc>
        <w:tc>
          <w:tcPr>
            <w:tcW w:w="1951" w:type="dxa"/>
            <w:tcBorders>
              <w:left w:val="nil"/>
              <w:bottom w:val="single" w:color="auto" w:sz="4" w:space="0"/>
              <w:right w:val="nil"/>
            </w:tcBorders>
          </w:tcPr>
          <w:p w14:paraId="39EF700F">
            <w:pPr>
              <w:rPr>
                <w:b/>
              </w:rPr>
            </w:pPr>
            <w:r>
              <w:rPr>
                <w:b/>
              </w:rPr>
              <w:t>Group 1</w:t>
            </w:r>
          </w:p>
        </w:tc>
        <w:tc>
          <w:tcPr>
            <w:tcW w:w="1701" w:type="dxa"/>
            <w:tcBorders>
              <w:left w:val="nil"/>
              <w:bottom w:val="single" w:color="auto" w:sz="4" w:space="0"/>
              <w:right w:val="nil"/>
            </w:tcBorders>
          </w:tcPr>
          <w:p w14:paraId="26B92FB4">
            <w:pPr>
              <w:rPr>
                <w:b/>
              </w:rPr>
            </w:pPr>
            <w:r>
              <w:rPr>
                <w:b/>
              </w:rPr>
              <w:t>Group 3</w:t>
            </w:r>
          </w:p>
        </w:tc>
        <w:tc>
          <w:tcPr>
            <w:tcW w:w="1559" w:type="dxa"/>
            <w:tcBorders>
              <w:left w:val="nil"/>
              <w:bottom w:val="single" w:color="auto" w:sz="4" w:space="0"/>
              <w:right w:val="single" w:color="auto" w:sz="4" w:space="0"/>
            </w:tcBorders>
          </w:tcPr>
          <w:p w14:paraId="6FB9ED17">
            <w:pPr>
              <w:rPr>
                <w:b/>
              </w:rPr>
            </w:pPr>
            <w:r>
              <w:rPr>
                <w:b/>
              </w:rPr>
              <w:t>Group 7</w:t>
            </w:r>
          </w:p>
        </w:tc>
      </w:tr>
      <w:tr w14:paraId="6634C8B8">
        <w:tblPrEx>
          <w:tblCellMar>
            <w:top w:w="0" w:type="dxa"/>
            <w:left w:w="108" w:type="dxa"/>
            <w:bottom w:w="0" w:type="dxa"/>
            <w:right w:w="108" w:type="dxa"/>
          </w:tblCellMar>
        </w:tblPrEx>
        <w:trPr>
          <w:trHeight w:val="357" w:hRule="atLeast"/>
        </w:trPr>
        <w:tc>
          <w:tcPr>
            <w:tcW w:w="3402" w:type="dxa"/>
            <w:tcBorders>
              <w:left w:val="nil"/>
              <w:bottom w:val="nil"/>
              <w:right w:val="nil"/>
            </w:tcBorders>
          </w:tcPr>
          <w:p w14:paraId="60FB5CA5">
            <w:r>
              <w:t>Mode of Inoculation</w:t>
            </w:r>
          </w:p>
        </w:tc>
        <w:tc>
          <w:tcPr>
            <w:tcW w:w="1951" w:type="dxa"/>
            <w:tcBorders>
              <w:left w:val="nil"/>
              <w:bottom w:val="nil"/>
              <w:right w:val="nil"/>
            </w:tcBorders>
          </w:tcPr>
          <w:p w14:paraId="6A7000C5">
            <w:r>
              <w:t>Oral</w:t>
            </w:r>
          </w:p>
        </w:tc>
        <w:tc>
          <w:tcPr>
            <w:tcW w:w="1701" w:type="dxa"/>
            <w:tcBorders>
              <w:left w:val="nil"/>
              <w:bottom w:val="nil"/>
              <w:right w:val="nil"/>
            </w:tcBorders>
          </w:tcPr>
          <w:p w14:paraId="396814EB">
            <w:r>
              <w:t>Oral</w:t>
            </w:r>
          </w:p>
        </w:tc>
        <w:tc>
          <w:tcPr>
            <w:tcW w:w="1559" w:type="dxa"/>
            <w:tcBorders>
              <w:left w:val="nil"/>
              <w:bottom w:val="nil"/>
              <w:right w:val="single" w:color="auto" w:sz="4" w:space="0"/>
            </w:tcBorders>
          </w:tcPr>
          <w:p w14:paraId="7A21883E">
            <w:r>
              <w:t>Oral</w:t>
            </w:r>
          </w:p>
        </w:tc>
      </w:tr>
      <w:tr w14:paraId="099CF864">
        <w:tblPrEx>
          <w:tblCellMar>
            <w:top w:w="0" w:type="dxa"/>
            <w:left w:w="108" w:type="dxa"/>
            <w:bottom w:w="0" w:type="dxa"/>
            <w:right w:w="108" w:type="dxa"/>
          </w:tblCellMar>
        </w:tblPrEx>
        <w:tc>
          <w:tcPr>
            <w:tcW w:w="3402" w:type="dxa"/>
            <w:tcBorders>
              <w:top w:val="nil"/>
              <w:left w:val="nil"/>
              <w:bottom w:val="nil"/>
              <w:right w:val="nil"/>
            </w:tcBorders>
          </w:tcPr>
          <w:p w14:paraId="33B692D6">
            <w:r>
              <w:t>Frequency of  Inoculation</w:t>
            </w:r>
          </w:p>
        </w:tc>
        <w:tc>
          <w:tcPr>
            <w:tcW w:w="1951" w:type="dxa"/>
            <w:tcBorders>
              <w:top w:val="nil"/>
              <w:left w:val="nil"/>
              <w:bottom w:val="nil"/>
              <w:right w:val="nil"/>
            </w:tcBorders>
          </w:tcPr>
          <w:p w14:paraId="2BB17D52">
            <w:r>
              <w:t xml:space="preserve">One </w:t>
            </w:r>
          </w:p>
        </w:tc>
        <w:tc>
          <w:tcPr>
            <w:tcW w:w="1701" w:type="dxa"/>
            <w:tcBorders>
              <w:top w:val="nil"/>
              <w:left w:val="nil"/>
              <w:bottom w:val="nil"/>
              <w:right w:val="nil"/>
            </w:tcBorders>
          </w:tcPr>
          <w:p w14:paraId="4A0DBB4A">
            <w:r>
              <w:t>One</w:t>
            </w:r>
          </w:p>
        </w:tc>
        <w:tc>
          <w:tcPr>
            <w:tcW w:w="1559" w:type="dxa"/>
            <w:tcBorders>
              <w:top w:val="nil"/>
              <w:left w:val="nil"/>
              <w:bottom w:val="nil"/>
              <w:right w:val="single" w:color="auto" w:sz="4" w:space="0"/>
            </w:tcBorders>
          </w:tcPr>
          <w:p w14:paraId="0539D9E3">
            <w:r>
              <w:t>One</w:t>
            </w:r>
          </w:p>
        </w:tc>
      </w:tr>
      <w:tr w14:paraId="6A94E286">
        <w:tblPrEx>
          <w:tblCellMar>
            <w:top w:w="0" w:type="dxa"/>
            <w:left w:w="108" w:type="dxa"/>
            <w:bottom w:w="0" w:type="dxa"/>
            <w:right w:w="108" w:type="dxa"/>
          </w:tblCellMar>
        </w:tblPrEx>
        <w:trPr>
          <w:trHeight w:val="340" w:hRule="atLeast"/>
        </w:trPr>
        <w:tc>
          <w:tcPr>
            <w:tcW w:w="3402" w:type="dxa"/>
            <w:tcBorders>
              <w:top w:val="nil"/>
              <w:left w:val="nil"/>
              <w:bottom w:val="nil"/>
              <w:right w:val="nil"/>
            </w:tcBorders>
          </w:tcPr>
          <w:p w14:paraId="0B0AD544">
            <w:r>
              <w:t>N</w:t>
            </w:r>
            <w:r>
              <w:rPr>
                <w:u w:val="single"/>
              </w:rPr>
              <w:t>o</w:t>
            </w:r>
            <w:r>
              <w:t xml:space="preserve"> of embryonated eggs inoculated</w:t>
            </w:r>
          </w:p>
        </w:tc>
        <w:tc>
          <w:tcPr>
            <w:tcW w:w="1951" w:type="dxa"/>
            <w:tcBorders>
              <w:top w:val="nil"/>
              <w:left w:val="nil"/>
              <w:bottom w:val="nil"/>
              <w:right w:val="nil"/>
            </w:tcBorders>
          </w:tcPr>
          <w:p w14:paraId="29DE5B25">
            <w:r>
              <w:t>500</w:t>
            </w:r>
          </w:p>
        </w:tc>
        <w:tc>
          <w:tcPr>
            <w:tcW w:w="1701" w:type="dxa"/>
            <w:tcBorders>
              <w:top w:val="nil"/>
              <w:left w:val="nil"/>
              <w:bottom w:val="nil"/>
              <w:right w:val="nil"/>
            </w:tcBorders>
          </w:tcPr>
          <w:p w14:paraId="17F56A6E">
            <w:r>
              <w:t>500</w:t>
            </w:r>
          </w:p>
        </w:tc>
        <w:tc>
          <w:tcPr>
            <w:tcW w:w="1559" w:type="dxa"/>
            <w:tcBorders>
              <w:top w:val="nil"/>
              <w:left w:val="nil"/>
              <w:bottom w:val="nil"/>
              <w:right w:val="single" w:color="auto" w:sz="4" w:space="0"/>
            </w:tcBorders>
          </w:tcPr>
          <w:p w14:paraId="24D7ED47">
            <w:r>
              <w:t>500</w:t>
            </w:r>
          </w:p>
        </w:tc>
      </w:tr>
      <w:tr w14:paraId="0C5C18E2">
        <w:tblPrEx>
          <w:tblCellMar>
            <w:top w:w="0" w:type="dxa"/>
            <w:left w:w="108" w:type="dxa"/>
            <w:bottom w:w="0" w:type="dxa"/>
            <w:right w:w="108" w:type="dxa"/>
          </w:tblCellMar>
        </w:tblPrEx>
        <w:tc>
          <w:tcPr>
            <w:tcW w:w="3402" w:type="dxa"/>
            <w:tcBorders>
              <w:top w:val="nil"/>
              <w:left w:val="nil"/>
              <w:bottom w:val="nil"/>
              <w:right w:val="nil"/>
            </w:tcBorders>
          </w:tcPr>
          <w:p w14:paraId="42CAAA10">
            <w:r>
              <w:t>Storage condition of eggs prior to inoculation</w:t>
            </w:r>
          </w:p>
        </w:tc>
        <w:tc>
          <w:tcPr>
            <w:tcW w:w="1951" w:type="dxa"/>
            <w:tcBorders>
              <w:top w:val="nil"/>
              <w:left w:val="nil"/>
              <w:bottom w:val="nil"/>
              <w:right w:val="nil"/>
            </w:tcBorders>
          </w:tcPr>
          <w:p w14:paraId="4DE1314F">
            <w:r>
              <w:t>21°C-26°C</w:t>
            </w:r>
          </w:p>
        </w:tc>
        <w:tc>
          <w:tcPr>
            <w:tcW w:w="1701" w:type="dxa"/>
            <w:tcBorders>
              <w:top w:val="nil"/>
              <w:left w:val="nil"/>
              <w:bottom w:val="nil"/>
              <w:right w:val="nil"/>
            </w:tcBorders>
          </w:tcPr>
          <w:p w14:paraId="1D777770">
            <w:r>
              <w:t>21°C-26°C</w:t>
            </w:r>
          </w:p>
        </w:tc>
        <w:tc>
          <w:tcPr>
            <w:tcW w:w="1559" w:type="dxa"/>
            <w:tcBorders>
              <w:top w:val="nil"/>
              <w:left w:val="nil"/>
              <w:bottom w:val="nil"/>
              <w:right w:val="single" w:color="auto" w:sz="4" w:space="0"/>
            </w:tcBorders>
          </w:tcPr>
          <w:p w14:paraId="65BFEE4C">
            <w:r>
              <w:t>21°C-26°C</w:t>
            </w:r>
          </w:p>
        </w:tc>
      </w:tr>
      <w:tr w14:paraId="3D1A0732">
        <w:tblPrEx>
          <w:tblCellMar>
            <w:top w:w="0" w:type="dxa"/>
            <w:left w:w="108" w:type="dxa"/>
            <w:bottom w:w="0" w:type="dxa"/>
            <w:right w:w="108" w:type="dxa"/>
          </w:tblCellMar>
        </w:tblPrEx>
        <w:trPr>
          <w:trHeight w:val="329" w:hRule="atLeast"/>
        </w:trPr>
        <w:tc>
          <w:tcPr>
            <w:tcW w:w="3402" w:type="dxa"/>
            <w:tcBorders>
              <w:top w:val="nil"/>
              <w:left w:val="nil"/>
              <w:bottom w:val="nil"/>
              <w:right w:val="nil"/>
            </w:tcBorders>
          </w:tcPr>
          <w:p w14:paraId="385FFB4C">
            <w:r>
              <w:t>Clinical signs observation</w:t>
            </w:r>
          </w:p>
        </w:tc>
        <w:tc>
          <w:tcPr>
            <w:tcW w:w="1951" w:type="dxa"/>
            <w:tcBorders>
              <w:top w:val="nil"/>
              <w:left w:val="nil"/>
              <w:bottom w:val="nil"/>
              <w:right w:val="nil"/>
            </w:tcBorders>
          </w:tcPr>
          <w:p w14:paraId="2F73DA30">
            <w:r>
              <w:t>Examined</w:t>
            </w:r>
          </w:p>
        </w:tc>
        <w:tc>
          <w:tcPr>
            <w:tcW w:w="1701" w:type="dxa"/>
            <w:tcBorders>
              <w:top w:val="nil"/>
              <w:left w:val="nil"/>
              <w:bottom w:val="nil"/>
              <w:right w:val="nil"/>
            </w:tcBorders>
          </w:tcPr>
          <w:p w14:paraId="26940888">
            <w:r>
              <w:t>Examined</w:t>
            </w:r>
          </w:p>
        </w:tc>
        <w:tc>
          <w:tcPr>
            <w:tcW w:w="1559" w:type="dxa"/>
            <w:tcBorders>
              <w:top w:val="nil"/>
              <w:left w:val="nil"/>
              <w:bottom w:val="nil"/>
              <w:right w:val="single" w:color="auto" w:sz="4" w:space="0"/>
            </w:tcBorders>
          </w:tcPr>
          <w:p w14:paraId="6B376E25">
            <w:r>
              <w:t>Examined</w:t>
            </w:r>
          </w:p>
        </w:tc>
      </w:tr>
      <w:tr w14:paraId="35084869">
        <w:tblPrEx>
          <w:tblCellMar>
            <w:top w:w="0" w:type="dxa"/>
            <w:left w:w="108" w:type="dxa"/>
            <w:bottom w:w="0" w:type="dxa"/>
            <w:right w:w="108" w:type="dxa"/>
          </w:tblCellMar>
        </w:tblPrEx>
        <w:tc>
          <w:tcPr>
            <w:tcW w:w="3402" w:type="dxa"/>
            <w:tcBorders>
              <w:top w:val="nil"/>
              <w:left w:val="nil"/>
              <w:bottom w:val="nil"/>
              <w:right w:val="nil"/>
            </w:tcBorders>
          </w:tcPr>
          <w:p w14:paraId="00969FBE">
            <w:r>
              <w:t>Egg counts/groups after 2 weeks of p.i.</w:t>
            </w:r>
          </w:p>
        </w:tc>
        <w:tc>
          <w:tcPr>
            <w:tcW w:w="1951" w:type="dxa"/>
            <w:tcBorders>
              <w:top w:val="nil"/>
              <w:left w:val="nil"/>
              <w:bottom w:val="nil"/>
              <w:right w:val="nil"/>
            </w:tcBorders>
          </w:tcPr>
          <w:p w14:paraId="288CE63B">
            <w:r>
              <w:t>Counted</w:t>
            </w:r>
          </w:p>
        </w:tc>
        <w:tc>
          <w:tcPr>
            <w:tcW w:w="1701" w:type="dxa"/>
            <w:tcBorders>
              <w:top w:val="nil"/>
              <w:left w:val="nil"/>
              <w:bottom w:val="nil"/>
              <w:right w:val="nil"/>
            </w:tcBorders>
          </w:tcPr>
          <w:p w14:paraId="62CF2CC8">
            <w:r>
              <w:t>Counted</w:t>
            </w:r>
          </w:p>
        </w:tc>
        <w:tc>
          <w:tcPr>
            <w:tcW w:w="1559" w:type="dxa"/>
            <w:tcBorders>
              <w:top w:val="nil"/>
              <w:left w:val="nil"/>
              <w:bottom w:val="nil"/>
              <w:right w:val="single" w:color="auto" w:sz="4" w:space="0"/>
            </w:tcBorders>
          </w:tcPr>
          <w:p w14:paraId="05A02E84">
            <w:r>
              <w:t>Counted</w:t>
            </w:r>
          </w:p>
        </w:tc>
      </w:tr>
      <w:tr w14:paraId="5945E5DD">
        <w:tblPrEx>
          <w:tblCellMar>
            <w:top w:w="0" w:type="dxa"/>
            <w:left w:w="108" w:type="dxa"/>
            <w:bottom w:w="0" w:type="dxa"/>
            <w:right w:w="108" w:type="dxa"/>
          </w:tblCellMar>
        </w:tblPrEx>
        <w:tc>
          <w:tcPr>
            <w:tcW w:w="3402" w:type="dxa"/>
            <w:tcBorders>
              <w:top w:val="nil"/>
              <w:left w:val="nil"/>
              <w:right w:val="nil"/>
            </w:tcBorders>
          </w:tcPr>
          <w:p w14:paraId="65FD1E3D">
            <w:r>
              <w:t>Date of exposure</w:t>
            </w:r>
          </w:p>
        </w:tc>
        <w:tc>
          <w:tcPr>
            <w:tcW w:w="1951" w:type="dxa"/>
            <w:tcBorders>
              <w:top w:val="nil"/>
              <w:left w:val="nil"/>
              <w:right w:val="nil"/>
            </w:tcBorders>
          </w:tcPr>
          <w:p w14:paraId="36A8172F">
            <w:r>
              <w:t>3</w:t>
            </w:r>
            <w:r>
              <w:rPr>
                <w:vertAlign w:val="superscript"/>
              </w:rPr>
              <w:t>rd</w:t>
            </w:r>
            <w:r>
              <w:t xml:space="preserve"> day of age</w:t>
            </w:r>
          </w:p>
        </w:tc>
        <w:tc>
          <w:tcPr>
            <w:tcW w:w="1701" w:type="dxa"/>
            <w:tcBorders>
              <w:top w:val="nil"/>
              <w:left w:val="nil"/>
              <w:right w:val="nil"/>
            </w:tcBorders>
          </w:tcPr>
          <w:p w14:paraId="36C36DC2">
            <w:r>
              <w:t>3</w:t>
            </w:r>
            <w:r>
              <w:rPr>
                <w:vertAlign w:val="superscript"/>
              </w:rPr>
              <w:t>rd</w:t>
            </w:r>
            <w:r>
              <w:t xml:space="preserve"> day of age</w:t>
            </w:r>
          </w:p>
        </w:tc>
        <w:tc>
          <w:tcPr>
            <w:tcW w:w="1559" w:type="dxa"/>
            <w:tcBorders>
              <w:top w:val="nil"/>
              <w:left w:val="nil"/>
              <w:right w:val="single" w:color="auto" w:sz="4" w:space="0"/>
            </w:tcBorders>
          </w:tcPr>
          <w:p w14:paraId="4E44E21B">
            <w:r>
              <w:t>3</w:t>
            </w:r>
            <w:r>
              <w:rPr>
                <w:vertAlign w:val="superscript"/>
              </w:rPr>
              <w:t>rd</w:t>
            </w:r>
            <w:r>
              <w:t xml:space="preserve"> day of age</w:t>
            </w:r>
          </w:p>
        </w:tc>
      </w:tr>
    </w:tbl>
    <w:p w14:paraId="63F05038">
      <w:pPr>
        <w:spacing w:line="240" w:lineRule="auto"/>
      </w:pPr>
      <w:r>
        <w:t>Key:</w:t>
      </w:r>
    </w:p>
    <w:p w14:paraId="1CAE643A">
      <w:pPr>
        <w:spacing w:line="240" w:lineRule="auto"/>
      </w:pPr>
      <w:r>
        <w:t>P.I=Postinfection</w:t>
      </w:r>
    </w:p>
    <w:p w14:paraId="0EA67399">
      <w:pPr>
        <w:spacing w:line="240" w:lineRule="auto"/>
      </w:pPr>
    </w:p>
    <w:p w14:paraId="11F5D118">
      <w:pPr>
        <w:pStyle w:val="4"/>
        <w:spacing w:before="0" w:after="0"/>
      </w:pPr>
      <w:bookmarkStart w:id="24" w:name="_Toc168390141"/>
      <w:bookmarkStart w:id="25" w:name="_Toc170937963"/>
      <w:bookmarkStart w:id="26" w:name="_Toc168523126"/>
      <w:r>
        <w:t>3.3.2. Vaccines</w:t>
      </w:r>
      <w:bookmarkEnd w:id="24"/>
      <w:bookmarkEnd w:id="25"/>
      <w:bookmarkEnd w:id="26"/>
    </w:p>
    <w:p w14:paraId="045DE7E1">
      <w:pPr>
        <w:spacing w:line="240" w:lineRule="auto"/>
      </w:pPr>
    </w:p>
    <w:p w14:paraId="41A35FE7">
      <w:r>
        <w:t>Three vaccines were used, but two as one (booster), the conventional freeze-dried HB1, LaSota (NVI, Ethiopia) with a titre of 10</w:t>
      </w:r>
      <w:r>
        <w:rPr>
          <w:vertAlign w:val="superscript"/>
        </w:rPr>
        <w:t>7</w:t>
      </w:r>
      <w:r>
        <w:t xml:space="preserve"> EID</w:t>
      </w:r>
      <w:r>
        <w:rPr>
          <w:vertAlign w:val="subscript"/>
        </w:rPr>
        <w:t>50</w:t>
      </w:r>
      <w:r>
        <w:t xml:space="preserve"> per dose and the freeze-dried thermostable NDV-I2 vaccine, also containing 10</w:t>
      </w:r>
      <w:r>
        <w:rPr>
          <w:vertAlign w:val="superscript"/>
        </w:rPr>
        <w:t>7</w:t>
      </w:r>
      <w:r>
        <w:t xml:space="preserve"> EID</w:t>
      </w:r>
      <w:r>
        <w:rPr>
          <w:vertAlign w:val="subscript"/>
        </w:rPr>
        <w:t>50</w:t>
      </w:r>
      <w:r>
        <w:t xml:space="preserve"> per dose produced by NVI, Bishoftu, Ethiopia. These vaccines were used after reconstitution into the recommended dilution. Experimental chickens were vaccinated intraocularly (Ellakany </w:t>
      </w:r>
      <w:r>
        <w:rPr>
          <w:i/>
        </w:rPr>
        <w:t>et al</w:t>
      </w:r>
      <w:r>
        <w:t xml:space="preserve">., 2018). </w:t>
      </w:r>
    </w:p>
    <w:p w14:paraId="23ECBDC6">
      <w:pPr>
        <w:spacing w:line="240" w:lineRule="auto"/>
      </w:pPr>
    </w:p>
    <w:p w14:paraId="4725DF19">
      <w:pPr>
        <w:pStyle w:val="4"/>
        <w:spacing w:before="0" w:after="0"/>
      </w:pPr>
      <w:bookmarkStart w:id="27" w:name="_Toc170937964"/>
      <w:bookmarkStart w:id="28" w:name="_Toc168523127"/>
      <w:bookmarkStart w:id="29" w:name="_Toc168390142"/>
      <w:r>
        <w:t>3.3.3. Challenge virus</w:t>
      </w:r>
      <w:bookmarkEnd w:id="27"/>
      <w:bookmarkEnd w:id="28"/>
      <w:bookmarkEnd w:id="29"/>
    </w:p>
    <w:p w14:paraId="109C17D8">
      <w:pPr>
        <w:spacing w:line="240" w:lineRule="auto"/>
      </w:pPr>
    </w:p>
    <w:p w14:paraId="54C97AAB">
      <w:pPr>
        <w:rPr>
          <w:rStyle w:val="38"/>
          <w:color w:val="FF0000"/>
        </w:rPr>
      </w:pPr>
      <w:r>
        <w:t>Virulent NDV field strain was used (ICPI=1.18, Accession n</w:t>
      </w:r>
      <w:r>
        <w:rPr>
          <w:u w:val="single"/>
        </w:rPr>
        <w:t>o</w:t>
      </w:r>
      <w:r>
        <w:t>.MN909675.1). The intravenous pathogenicity index of the challenge virus was measured. It was propagated in 9 to 10-day-old embryonated chicken eggs via the allantoic route, titrated, and stored at -70</w:t>
      </w:r>
      <w:r>
        <w:rPr>
          <w:rFonts w:cs="Times New Roman"/>
        </w:rPr>
        <w:t>º</w:t>
      </w:r>
      <w:r>
        <w:t>C</w:t>
      </w:r>
      <w:r>
        <w:rPr>
          <w:vertAlign w:val="superscript"/>
        </w:rPr>
        <w:t xml:space="preserve"> </w:t>
      </w:r>
      <w:r>
        <w:t>until use. The embryo infective dose (EID</w:t>
      </w:r>
      <w:r>
        <w:rPr>
          <w:vertAlign w:val="subscript"/>
        </w:rPr>
        <w:t>50</w:t>
      </w:r>
      <w:r>
        <w:t xml:space="preserve">) was determined as described by Reed and Muench (1938). At the end of the experimental days the whole </w:t>
      </w:r>
      <w:r>
        <w:rPr>
          <w:rStyle w:val="38"/>
        </w:rPr>
        <w:t>chickens were inoculated through intramuscular route with 0.2ml/route of a 10</w:t>
      </w:r>
      <w:r>
        <w:rPr>
          <w:rStyle w:val="39"/>
          <w:vertAlign w:val="superscript"/>
        </w:rPr>
        <w:t>-1</w:t>
      </w:r>
      <w:r>
        <w:rPr>
          <w:rStyle w:val="38"/>
        </w:rPr>
        <w:t xml:space="preserve"> virus dilution from a 10</w:t>
      </w:r>
      <w:r>
        <w:rPr>
          <w:rStyle w:val="39"/>
          <w:vertAlign w:val="superscript"/>
        </w:rPr>
        <w:t>9</w:t>
      </w:r>
      <w:r>
        <w:rPr>
          <w:rStyle w:val="38"/>
        </w:rPr>
        <w:t xml:space="preserve"> ELD</w:t>
      </w:r>
      <w:r>
        <w:rPr>
          <w:rStyle w:val="40"/>
        </w:rPr>
        <w:t>50</w:t>
      </w:r>
      <w:r>
        <w:rPr>
          <w:rStyle w:val="38"/>
        </w:rPr>
        <w:t xml:space="preserve">/0.1ml stock suspension. All virus dilutions were carried out with sterile phosphate buffered saline (PBS), pH 7.2 (Carrasco </w:t>
      </w:r>
      <w:r>
        <w:rPr>
          <w:rStyle w:val="38"/>
          <w:i/>
        </w:rPr>
        <w:t>et al</w:t>
      </w:r>
      <w:r>
        <w:rPr>
          <w:rStyle w:val="38"/>
        </w:rPr>
        <w:t>., 2016).</w:t>
      </w:r>
    </w:p>
    <w:p w14:paraId="4CE27CFC">
      <w:pPr>
        <w:spacing w:line="240" w:lineRule="auto"/>
      </w:pPr>
    </w:p>
    <w:p w14:paraId="1C94C556">
      <w:pPr>
        <w:rPr>
          <w:rFonts w:eastAsia="Times New Roman" w:cs="Times New Roman"/>
          <w:szCs w:val="24"/>
        </w:rPr>
      </w:pPr>
      <w:r>
        <w:rPr>
          <w:rFonts w:eastAsia="Times New Roman" w:cs="Times New Roman"/>
          <w:szCs w:val="24"/>
        </w:rPr>
        <w:t>After vaccination/experimental infection, birds were monitored daily for presence of any</w:t>
      </w:r>
    </w:p>
    <w:p w14:paraId="65DC27AE">
      <w:r>
        <w:rPr>
          <w:rFonts w:eastAsia="Times New Roman" w:cs="Times New Roman"/>
          <w:szCs w:val="24"/>
        </w:rPr>
        <w:t xml:space="preserve">clinical signs, such as diarrhea, torticollis, incoordination, apathy, tremors, ocular and nasal discharge, abnormal posture and moving difficulties. </w:t>
      </w:r>
    </w:p>
    <w:p w14:paraId="741D7977">
      <w:pPr>
        <w:spacing w:line="240" w:lineRule="auto"/>
      </w:pPr>
    </w:p>
    <w:p w14:paraId="1064EBF5">
      <w:pPr>
        <w:pStyle w:val="3"/>
        <w:spacing w:before="0" w:after="0"/>
      </w:pPr>
      <w:bookmarkStart w:id="30" w:name="_Toc170937965"/>
      <w:bookmarkStart w:id="31" w:name="_Toc168390144"/>
      <w:bookmarkStart w:id="32" w:name="_Toc168523129"/>
      <w:r>
        <w:t>3.4. Sample Collection</w:t>
      </w:r>
      <w:bookmarkEnd w:id="30"/>
      <w:bookmarkEnd w:id="31"/>
      <w:bookmarkEnd w:id="32"/>
    </w:p>
    <w:p w14:paraId="50B8EFE2">
      <w:pPr>
        <w:spacing w:line="240" w:lineRule="auto"/>
      </w:pPr>
    </w:p>
    <w:p w14:paraId="65F08CB7">
      <w:pPr>
        <w:pStyle w:val="4"/>
        <w:spacing w:before="0" w:after="0"/>
      </w:pPr>
      <w:bookmarkStart w:id="33" w:name="_Toc168523130"/>
      <w:bookmarkStart w:id="34" w:name="_Toc168390145"/>
      <w:bookmarkStart w:id="35" w:name="_Toc170937966"/>
      <w:r>
        <w:t>3.4.1. Blood sample collection</w:t>
      </w:r>
      <w:bookmarkEnd w:id="33"/>
      <w:bookmarkEnd w:id="34"/>
      <w:bookmarkEnd w:id="35"/>
    </w:p>
    <w:p w14:paraId="2F3E7C05"/>
    <w:p w14:paraId="472B858F">
      <w:r>
        <w:t>One ml at early age to three ml at later age of chicken blood was collected by using 1ml and 3ml sterile disposable syringe from the wing vein of each bird following the standard methods described by Alders and Spradbrow (1993/4) on day zero, 7</w:t>
      </w:r>
      <w:r>
        <w:rPr>
          <w:vertAlign w:val="superscript"/>
        </w:rPr>
        <w:t>th</w:t>
      </w:r>
      <w:r>
        <w:t>, 14</w:t>
      </w:r>
      <w:r>
        <w:rPr>
          <w:vertAlign w:val="superscript"/>
        </w:rPr>
        <w:t>th</w:t>
      </w:r>
      <w:r>
        <w:t>, 21</w:t>
      </w:r>
      <w:r>
        <w:rPr>
          <w:vertAlign w:val="superscript"/>
        </w:rPr>
        <w:t>th</w:t>
      </w:r>
      <w:r>
        <w:t>, 28</w:t>
      </w:r>
      <w:r>
        <w:rPr>
          <w:vertAlign w:val="superscript"/>
        </w:rPr>
        <w:t>th</w:t>
      </w:r>
      <w:r>
        <w:t>, 35</w:t>
      </w:r>
      <w:r>
        <w:rPr>
          <w:vertAlign w:val="superscript"/>
        </w:rPr>
        <w:t>th</w:t>
      </w:r>
      <w:r>
        <w:t xml:space="preserve"> and 49 days from each group by using Alsever solution anticoagulant for whole blood and without anticoagulant for serum harvesting. The collected blood samples were labelled with individual group number and allow clotting overnight at room temperature to facilitate serum separation and the whole blood was stored at +4°C until </w:t>
      </w:r>
      <w:r>
        <w:rPr>
          <w:rFonts w:eastAsia="Times New Roman" w:cs="Times New Roman"/>
          <w:color w:val="212121"/>
          <w:szCs w:val="24"/>
        </w:rPr>
        <w:t>peripheral blood mononuclear cell (</w:t>
      </w:r>
      <w:r>
        <w:t xml:space="preserve">PBMC) was isolated. </w:t>
      </w:r>
    </w:p>
    <w:p w14:paraId="26617E6B">
      <w:pPr>
        <w:spacing w:line="240" w:lineRule="auto"/>
      </w:pPr>
    </w:p>
    <w:p w14:paraId="0559E7D5">
      <w:r>
        <w:t>The sera and PBMC were harvested in the labelled cryovials and stored at -20°C and -80°C until HI, and lymphocyte proliferation (MTT) assay were carried out respectively. The PBMCs were isolated by using Ficoll histopaque-1.077 density gradient centrifugation from the collected whole blood and used for doing cell proliferation assay and cell viability by using MTT (3-(4, 5-dimethylthiazol-2-yl)-2, 5-diphenyltetrazolium bromide, a tetrazole) assay at day 0, 7, 21, 35 and postchallenge (49</w:t>
      </w:r>
      <w:r>
        <w:rPr>
          <w:vertAlign w:val="superscript"/>
        </w:rPr>
        <w:t>th</w:t>
      </w:r>
      <w:r>
        <w:t xml:space="preserve"> day).</w:t>
      </w:r>
    </w:p>
    <w:p w14:paraId="013F84EF">
      <w:pPr>
        <w:spacing w:line="240" w:lineRule="auto"/>
      </w:pPr>
    </w:p>
    <w:p w14:paraId="07683A3F">
      <w:pPr>
        <w:spacing w:line="240" w:lineRule="auto"/>
      </w:pPr>
    </w:p>
    <w:p w14:paraId="0FC26664">
      <w:pPr>
        <w:spacing w:line="240" w:lineRule="auto"/>
      </w:pPr>
    </w:p>
    <w:p w14:paraId="146B0C0B">
      <w:pPr>
        <w:pStyle w:val="4"/>
        <w:spacing w:before="0" w:after="0"/>
        <w:rPr>
          <w:rFonts w:eastAsia="Times New Roman"/>
        </w:rPr>
      </w:pPr>
      <w:bookmarkStart w:id="36" w:name="_Toc170937967"/>
      <w:bookmarkStart w:id="37" w:name="_Toc168390146"/>
      <w:bookmarkStart w:id="38" w:name="_Toc168523131"/>
      <w:r>
        <w:rPr>
          <w:rFonts w:eastAsia="Times New Roman"/>
        </w:rPr>
        <w:t>3.4.2. Fecal sample collection</w:t>
      </w:r>
      <w:bookmarkEnd w:id="36"/>
      <w:bookmarkEnd w:id="37"/>
      <w:bookmarkEnd w:id="38"/>
    </w:p>
    <w:p w14:paraId="14309B04">
      <w:pPr>
        <w:spacing w:line="240" w:lineRule="auto"/>
      </w:pPr>
    </w:p>
    <w:p w14:paraId="7224EEE9">
      <w:r>
        <w:t xml:space="preserve">The fecal sample was collected from the </w:t>
      </w:r>
      <w:r>
        <w:rPr>
          <w:i/>
        </w:rPr>
        <w:t>A.galli</w:t>
      </w:r>
      <w:r>
        <w:t xml:space="preserve"> infected groups starting from the second weeks of infection. The parasite egg was checked by using McMaster egg counting technique.</w:t>
      </w:r>
    </w:p>
    <w:p w14:paraId="5DCC43A8">
      <w:pPr>
        <w:spacing w:line="240" w:lineRule="auto"/>
      </w:pPr>
    </w:p>
    <w:p w14:paraId="63C71CFE">
      <w:pPr>
        <w:pStyle w:val="4"/>
        <w:spacing w:before="0" w:after="0"/>
        <w:rPr>
          <w:rFonts w:eastAsia="Times New Roman"/>
        </w:rPr>
      </w:pPr>
      <w:bookmarkStart w:id="39" w:name="_Toc168523132"/>
      <w:bookmarkStart w:id="40" w:name="_Toc170937968"/>
      <w:bookmarkStart w:id="41" w:name="_Toc168390147"/>
      <w:r>
        <w:rPr>
          <w:rFonts w:eastAsia="Times New Roman"/>
        </w:rPr>
        <w:t>3.4.3. Tissue samples</w:t>
      </w:r>
      <w:bookmarkEnd w:id="39"/>
      <w:bookmarkEnd w:id="40"/>
      <w:bookmarkEnd w:id="41"/>
    </w:p>
    <w:p w14:paraId="2566597A">
      <w:pPr>
        <w:spacing w:line="240" w:lineRule="auto"/>
      </w:pPr>
    </w:p>
    <w:p w14:paraId="2C77FEBD">
      <w:pPr>
        <w:rPr>
          <w:rFonts w:eastAsia="Times New Roman" w:cs="Times New Roman"/>
          <w:szCs w:val="24"/>
        </w:rPr>
      </w:pPr>
      <w:r>
        <w:rPr>
          <w:rFonts w:eastAsia="Times New Roman" w:cs="Times New Roman"/>
          <w:szCs w:val="24"/>
        </w:rPr>
        <w:t xml:space="preserve">Postmortem examinations were conducted on chicken found died after being challenged with the velogenic strain of NDV, gross necropsy findings (pathological changes) were recorded. Different tissue samples including brain, trachea, lung, proventriculus, intestine and spleen were collected for virus detection. </w:t>
      </w:r>
    </w:p>
    <w:p w14:paraId="217C18A6">
      <w:pPr>
        <w:spacing w:line="240" w:lineRule="auto"/>
      </w:pPr>
    </w:p>
    <w:p w14:paraId="1613E40A">
      <w:pPr>
        <w:pStyle w:val="3"/>
        <w:spacing w:before="0" w:after="0"/>
      </w:pPr>
      <w:bookmarkStart w:id="42" w:name="_Toc168390148"/>
      <w:bookmarkStart w:id="43" w:name="_Toc170937969"/>
      <w:bookmarkStart w:id="44" w:name="_Toc168523133"/>
      <w:r>
        <w:t>3.5. Laboratory Analysis</w:t>
      </w:r>
      <w:bookmarkEnd w:id="42"/>
      <w:bookmarkEnd w:id="43"/>
      <w:bookmarkEnd w:id="44"/>
    </w:p>
    <w:p w14:paraId="016EFF78">
      <w:pPr>
        <w:spacing w:line="240" w:lineRule="auto"/>
      </w:pPr>
    </w:p>
    <w:p w14:paraId="562903B5">
      <w:pPr>
        <w:pStyle w:val="4"/>
        <w:spacing w:before="0" w:after="0"/>
      </w:pPr>
      <w:bookmarkStart w:id="45" w:name="_Toc168523134"/>
      <w:bookmarkStart w:id="46" w:name="_Toc170937970"/>
      <w:bookmarkStart w:id="47" w:name="_Toc168390149"/>
      <w:r>
        <w:t>3.5.1. Haemagglutination inhibition assay</w:t>
      </w:r>
      <w:bookmarkEnd w:id="45"/>
      <w:bookmarkEnd w:id="46"/>
      <w:bookmarkEnd w:id="47"/>
    </w:p>
    <w:p w14:paraId="07116F02">
      <w:pPr>
        <w:spacing w:line="240" w:lineRule="auto"/>
      </w:pPr>
    </w:p>
    <w:p w14:paraId="7B6E8E57">
      <w:pPr>
        <w:pStyle w:val="5"/>
        <w:spacing w:before="0"/>
      </w:pPr>
      <w:r>
        <w:t>Chicken RBC suspension preparation and HI test</w:t>
      </w:r>
    </w:p>
    <w:p w14:paraId="66D41895">
      <w:pPr>
        <w:spacing w:line="240" w:lineRule="auto"/>
      </w:pPr>
    </w:p>
    <w:p w14:paraId="46383A38">
      <w:r>
        <w:t>Five milliliters of chicken blood were taken out aseptically using a disposable syringe that had a milliliter of a 25% solution of Alsever as an anticoagulant. After 15 minutes of centrifuging the blood at 1500 rpm, a pipette was used to extract the plasma and buffy coat. A 1% suspension in PBS was ready for HI test following three rounds of washing.</w:t>
      </w:r>
    </w:p>
    <w:p w14:paraId="429056CF">
      <w:pPr>
        <w:spacing w:line="240" w:lineRule="auto"/>
      </w:pPr>
    </w:p>
    <w:p w14:paraId="5845DD2E">
      <w:r>
        <w:t>Serum samples were tested for the presence of hemagglutination-inhibiting antibodies to the Newcastle Disease Virus using the HI test. The test sample was serially diluted twice and combined with an equivalent volume of NDV antigen. After adding chicken red blood cells, the dilutions were checked to see if the hemagglutination had completely stopped. Results less than 4log2 are regarded by the OIE as non-protective (negative) (OIE, 2013). OIE guidelines state that if at least 85% of a flock has a protective titer of at least 4log</w:t>
      </w:r>
      <w:r>
        <w:rPr>
          <w:vertAlign w:val="subscript"/>
        </w:rPr>
        <w:t>2</w:t>
      </w:r>
      <w:r>
        <w:t>, then the flock is protected against clinical infection and transmission (OIE, 2013). The HI assay was performed as described by OIE (2012).</w:t>
      </w:r>
    </w:p>
    <w:p w14:paraId="29A9A024">
      <w:pPr>
        <w:spacing w:line="240" w:lineRule="auto"/>
      </w:pPr>
    </w:p>
    <w:p w14:paraId="0C388108">
      <w:r>
        <w:t>In brief, each well of a V-bottomed microtiter plate (Nunc) received 0.025mL of PBS. Serum samples prepared in test wells of plates at two-fold dilutions, to which four Haemagglutination Units of the LaSota antigen were added. The plates were kept at room temperature for half an hour. Next, each well received 0.025ml of a 1% chicken red blood cell suspension that had been prepared in accordance with the guidelines using SPF chickens obtained from NVI. To give the RBC time to settle, the plates were left at room temperature for thirty minutes. To the positive and negative control wells, positive and negative controls were introduced. Based on agglutination evidence, the result was noted. The HI titer of each serum sample was expressed as the reciprocal of the highest serum dilution not showing agglutination (</w:t>
      </w:r>
      <w:r>
        <w:rPr>
          <w:rFonts w:eastAsia="Times New Roman" w:cs="Times New Roman"/>
          <w:szCs w:val="24"/>
        </w:rPr>
        <w:t xml:space="preserve">Arnold </w:t>
      </w:r>
      <w:r>
        <w:rPr>
          <w:rFonts w:eastAsia="Times New Roman" w:cs="Times New Roman"/>
          <w:i/>
          <w:szCs w:val="24"/>
        </w:rPr>
        <w:t>et al</w:t>
      </w:r>
      <w:r>
        <w:rPr>
          <w:rFonts w:eastAsia="Times New Roman" w:cs="Times New Roman"/>
          <w:szCs w:val="24"/>
        </w:rPr>
        <w:t>., 2018)</w:t>
      </w:r>
      <w:r>
        <w:t>. Samples considered protective to virulent infection when HI titers were ≥ 4 log2.</w:t>
      </w:r>
    </w:p>
    <w:p w14:paraId="38425CEF">
      <w:pPr>
        <w:pStyle w:val="3"/>
        <w:spacing w:before="0" w:after="0" w:line="240" w:lineRule="auto"/>
      </w:pPr>
      <w:bookmarkStart w:id="48" w:name="_Toc168390150"/>
      <w:bookmarkStart w:id="49" w:name="_Toc168523135"/>
      <w:bookmarkStart w:id="50" w:name="_Toc170937971"/>
    </w:p>
    <w:p w14:paraId="010931B5">
      <w:pPr>
        <w:pStyle w:val="3"/>
        <w:spacing w:before="0" w:after="0"/>
      </w:pPr>
      <w:r>
        <w:t>3.6. Cellular Immunity Test</w:t>
      </w:r>
      <w:bookmarkEnd w:id="48"/>
      <w:bookmarkEnd w:id="49"/>
      <w:bookmarkEnd w:id="50"/>
    </w:p>
    <w:p w14:paraId="58BAFC1E">
      <w:pPr>
        <w:spacing w:line="240" w:lineRule="auto"/>
      </w:pPr>
    </w:p>
    <w:p w14:paraId="32DF5FAF">
      <w:pPr>
        <w:pStyle w:val="4"/>
        <w:spacing w:before="0" w:after="0"/>
        <w:rPr>
          <w:rFonts w:eastAsia="Times New Roman"/>
        </w:rPr>
      </w:pPr>
      <w:bookmarkStart w:id="51" w:name="_Toc168523136"/>
      <w:bookmarkStart w:id="52" w:name="_Toc170937972"/>
      <w:bookmarkStart w:id="53" w:name="_Toc168390151"/>
      <w:r>
        <w:t xml:space="preserve">3.6.1. </w:t>
      </w:r>
      <w:r>
        <w:rPr>
          <w:rFonts w:eastAsia="Times New Roman"/>
        </w:rPr>
        <w:t>Lymphocyte proliferation assay</w:t>
      </w:r>
      <w:bookmarkEnd w:id="51"/>
      <w:bookmarkEnd w:id="52"/>
      <w:bookmarkEnd w:id="53"/>
    </w:p>
    <w:p w14:paraId="3E94A964">
      <w:pPr>
        <w:spacing w:line="240" w:lineRule="auto"/>
      </w:pPr>
    </w:p>
    <w:p w14:paraId="047B8DB4">
      <w:pPr>
        <w:shd w:val="clear" w:color="auto" w:fill="FFFFFF"/>
        <w:rPr>
          <w:rFonts w:eastAsia="Times New Roman" w:cs="Times New Roman"/>
          <w:color w:val="212121"/>
          <w:szCs w:val="24"/>
        </w:rPr>
      </w:pPr>
      <w:r>
        <w:rPr>
          <w:rFonts w:eastAsia="Times New Roman" w:cs="Times New Roman"/>
          <w:color w:val="212121"/>
          <w:szCs w:val="24"/>
        </w:rPr>
        <w:t>At the first, second, fourth and 6th weeks post-immunization, lymphocyte proliferation test using MTT colorimetric assay method was used to evaluate cell mediated immunity in the immunized chicks of various groups (9 groups n = 11/group) (Mosmann, 1983). Briefly, using Histopaque-1.077 (Sigma-Aldrich), PBMC was separated from chicken blood using a density gradient centrifuge. In a 96-well cell culture plate, cells were dispersed at a concentration of 2</w:t>
      </w:r>
      <w:r>
        <w:t xml:space="preserve"> </w:t>
      </w:r>
      <w:r>
        <w:rPr>
          <w:rFonts w:eastAsia="Times New Roman" w:cs="Times New Roman"/>
          <w:color w:val="212121"/>
          <w:szCs w:val="24"/>
        </w:rPr>
        <w:t>× 10</w:t>
      </w:r>
      <w:r>
        <w:rPr>
          <w:rFonts w:eastAsia="Times New Roman" w:cs="Times New Roman"/>
          <w:color w:val="212121"/>
          <w:szCs w:val="24"/>
          <w:vertAlign w:val="superscript"/>
        </w:rPr>
        <w:t>6</w:t>
      </w:r>
      <w:r>
        <w:rPr>
          <w:rFonts w:eastAsia="Times New Roman" w:cs="Times New Roman"/>
          <w:color w:val="212121"/>
          <w:szCs w:val="24"/>
        </w:rPr>
        <w:t xml:space="preserve"> cells/ml. Then, 100μL of RPMI-1640 growth media with antibiotic penstrep (0.2%) was introduced to the wells in triplicates to measure the proliferative response specific to the antigen.</w:t>
      </w:r>
      <w:r>
        <w:t xml:space="preserve"> </w:t>
      </w:r>
      <w:r>
        <w:rPr>
          <w:rFonts w:eastAsia="Times New Roman" w:cs="Times New Roman"/>
          <w:color w:val="212121"/>
          <w:szCs w:val="24"/>
        </w:rPr>
        <w:t xml:space="preserve">Lymphocyte activation cocktail (Sigma-Aldrich) at 20 μg/ml in RPMI-1640 done in previous studies (Kapczynski and King </w:t>
      </w:r>
      <w:r>
        <w:rPr>
          <w:rFonts w:eastAsia="Times New Roman" w:cs="Times New Roman"/>
          <w:i/>
          <w:color w:val="212121"/>
          <w:szCs w:val="24"/>
        </w:rPr>
        <w:t>et al</w:t>
      </w:r>
      <w:r>
        <w:rPr>
          <w:rFonts w:eastAsia="Times New Roman" w:cs="Times New Roman"/>
          <w:color w:val="212121"/>
          <w:szCs w:val="24"/>
        </w:rPr>
        <w:t>., 2005) (SI &gt;2) was used as the positive control, and duplicate samples of plain growth media (without LAC) was used as the negative control.</w:t>
      </w:r>
    </w:p>
    <w:p w14:paraId="7888FF58">
      <w:pPr>
        <w:shd w:val="clear" w:color="auto" w:fill="FFFFFF"/>
        <w:spacing w:line="240" w:lineRule="auto"/>
        <w:rPr>
          <w:rFonts w:eastAsia="Times New Roman" w:cs="Times New Roman"/>
          <w:color w:val="212121"/>
          <w:szCs w:val="24"/>
        </w:rPr>
      </w:pPr>
    </w:p>
    <w:p w14:paraId="7F5BA570">
      <w:pPr>
        <w:shd w:val="clear" w:color="auto" w:fill="FFFFFF"/>
        <w:rPr>
          <w:rFonts w:eastAsia="Times New Roman" w:cs="Times New Roman"/>
          <w:color w:val="734126"/>
          <w:spacing w:val="-2"/>
          <w:szCs w:val="24"/>
        </w:rPr>
      </w:pPr>
      <w:r>
        <w:rPr>
          <w:rFonts w:eastAsia="Times New Roman" w:cs="Times New Roman"/>
          <w:color w:val="212121"/>
          <w:szCs w:val="24"/>
        </w:rPr>
        <w:t>Following a 72-hour incubation period at 37°C and 5% CO</w:t>
      </w:r>
      <w:r>
        <w:rPr>
          <w:rFonts w:eastAsia="Times New Roman" w:cs="Times New Roman"/>
          <w:color w:val="212121"/>
          <w:szCs w:val="24"/>
          <w:vertAlign w:val="subscript"/>
        </w:rPr>
        <w:t>2</w:t>
      </w:r>
      <w:r>
        <w:rPr>
          <w:rFonts w:eastAsia="Times New Roman" w:cs="Times New Roman"/>
          <w:color w:val="212121"/>
          <w:szCs w:val="24"/>
        </w:rPr>
        <w:t>, the plates underwent subsequent 4 hour incubation with 20μL/well of MTT (Belgium, Roche) dye solution. A microplate ELISA reader was used to measure the optical density at 560 nm after the formazan crystal was dissolved by adding 100μl of solubilization buffer to each well. The mean stimulation index, which was determined by dividing the mean optical density of the stimulated cultured cells by the mean optical density of the control plain media, was used to express the lymphocyte proliferative response.</w:t>
      </w:r>
    </w:p>
    <w:p w14:paraId="0AB78A5A">
      <w:pPr>
        <w:spacing w:line="240" w:lineRule="auto"/>
      </w:pPr>
    </w:p>
    <w:p w14:paraId="62816D07">
      <w:pPr>
        <w:pStyle w:val="3"/>
        <w:spacing w:before="0" w:after="0"/>
      </w:pPr>
      <w:bookmarkStart w:id="54" w:name="_Toc168390152"/>
      <w:bookmarkStart w:id="55" w:name="_Toc170937973"/>
      <w:bookmarkStart w:id="56" w:name="_Toc168523137"/>
      <w:r>
        <w:t xml:space="preserve">3.7. </w:t>
      </w:r>
      <w:r>
        <w:rPr>
          <w:i/>
        </w:rPr>
        <w:t>Ascaridia galli</w:t>
      </w:r>
      <w:r>
        <w:t xml:space="preserve"> Egg Detection and Counts</w:t>
      </w:r>
      <w:bookmarkEnd w:id="54"/>
      <w:bookmarkEnd w:id="55"/>
      <w:bookmarkEnd w:id="56"/>
    </w:p>
    <w:p w14:paraId="382EBF94">
      <w:pPr>
        <w:spacing w:line="240" w:lineRule="auto"/>
      </w:pPr>
    </w:p>
    <w:p w14:paraId="05F75DEB">
      <w:r>
        <w:t xml:space="preserve">After two weeks post-infection, starting on day 17, fresh excreta sample was taken every week until 12 weeks of age from the birds in each infected group. A modified McMaster floatation method, derived from the MAFF, (1986) approach, was used to estimate the quantity of </w:t>
      </w:r>
      <w:r>
        <w:rPr>
          <w:i/>
        </w:rPr>
        <w:t>A. galli</w:t>
      </w:r>
      <w:r>
        <w:t xml:space="preserve"> eggs in each sample. In short, samples were soaked for half an hour after four grams of excreta and ten milliliters of water were introduced to a fifty milliliter Mc-Master container. The suspension was then poured onto McMaster egg counting chambers after a 50 ml total volume of stirred saturated NaCl solution was added. Using a stereo compound microscope with a 40x magnification, the number of </w:t>
      </w:r>
      <w:r>
        <w:rPr>
          <w:i/>
        </w:rPr>
        <w:t>A. galli</w:t>
      </w:r>
      <w:r>
        <w:t xml:space="preserve"> egg was counted (table 3).</w:t>
      </w:r>
    </w:p>
    <w:p w14:paraId="246203F4">
      <w:pPr>
        <w:spacing w:line="240" w:lineRule="auto"/>
        <w:rPr>
          <w:b/>
        </w:rPr>
      </w:pPr>
    </w:p>
    <w:p w14:paraId="1420A9AE">
      <w:pPr>
        <w:pStyle w:val="10"/>
        <w:keepNext/>
        <w:spacing w:after="0" w:line="360" w:lineRule="auto"/>
        <w:rPr>
          <w:color w:val="auto"/>
          <w:sz w:val="24"/>
          <w:szCs w:val="24"/>
        </w:rPr>
      </w:pPr>
      <w:bookmarkStart w:id="57" w:name="_Toc168574018"/>
      <w:r>
        <w:rPr>
          <w:color w:val="auto"/>
          <w:sz w:val="24"/>
          <w:szCs w:val="24"/>
        </w:rPr>
        <w:t xml:space="preserve">Table </w:t>
      </w:r>
      <w:r>
        <w:rPr>
          <w:color w:val="auto"/>
          <w:sz w:val="24"/>
          <w:szCs w:val="24"/>
        </w:rPr>
        <w:fldChar w:fldCharType="begin"/>
      </w:r>
      <w:r>
        <w:rPr>
          <w:color w:val="auto"/>
          <w:sz w:val="24"/>
          <w:szCs w:val="24"/>
        </w:rPr>
        <w:instrText xml:space="preserve"> SEQ Table \* ARABIC </w:instrText>
      </w:r>
      <w:r>
        <w:rPr>
          <w:color w:val="auto"/>
          <w:sz w:val="24"/>
          <w:szCs w:val="24"/>
        </w:rPr>
        <w:fldChar w:fldCharType="separate"/>
      </w:r>
      <w:r>
        <w:rPr>
          <w:color w:val="auto"/>
          <w:sz w:val="24"/>
          <w:szCs w:val="24"/>
        </w:rPr>
        <w:t>3</w:t>
      </w:r>
      <w:r>
        <w:rPr>
          <w:color w:val="auto"/>
          <w:sz w:val="24"/>
          <w:szCs w:val="24"/>
        </w:rPr>
        <w:fldChar w:fldCharType="end"/>
      </w:r>
      <w:r>
        <w:rPr>
          <w:color w:val="auto"/>
          <w:sz w:val="24"/>
          <w:szCs w:val="24"/>
        </w:rPr>
        <w:t>:</w:t>
      </w:r>
      <w:r>
        <w:rPr>
          <w:b w:val="0"/>
          <w:color w:val="auto"/>
          <w:sz w:val="24"/>
          <w:szCs w:val="24"/>
        </w:rPr>
        <w:t xml:space="preserve"> Examining the presence of </w:t>
      </w:r>
      <w:r>
        <w:rPr>
          <w:b w:val="0"/>
          <w:i/>
          <w:color w:val="auto"/>
          <w:sz w:val="24"/>
          <w:szCs w:val="24"/>
        </w:rPr>
        <w:t>A.galli</w:t>
      </w:r>
      <w:r>
        <w:rPr>
          <w:b w:val="0"/>
          <w:color w:val="auto"/>
          <w:sz w:val="24"/>
          <w:szCs w:val="24"/>
        </w:rPr>
        <w:t xml:space="preserve"> egg</w:t>
      </w:r>
      <w:bookmarkEnd w:id="57"/>
      <w:r>
        <w:rPr>
          <w:b w:val="0"/>
          <w:color w:val="auto"/>
          <w:sz w:val="24"/>
          <w:szCs w:val="24"/>
        </w:rPr>
        <w:t xml:space="preserve"> after postinfection (P.I.)</w:t>
      </w:r>
    </w:p>
    <w:tbl>
      <w:tblPr>
        <w:tblStyle w:val="8"/>
        <w:tblW w:w="9215" w:type="dxa"/>
        <w:tblInd w:w="-176" w:type="dxa"/>
        <w:tblLayout w:type="fixed"/>
        <w:tblCellMar>
          <w:top w:w="0" w:type="dxa"/>
          <w:left w:w="108" w:type="dxa"/>
          <w:bottom w:w="0" w:type="dxa"/>
          <w:right w:w="108" w:type="dxa"/>
        </w:tblCellMar>
      </w:tblPr>
      <w:tblGrid>
        <w:gridCol w:w="568"/>
        <w:gridCol w:w="1134"/>
        <w:gridCol w:w="1134"/>
        <w:gridCol w:w="992"/>
        <w:gridCol w:w="1134"/>
        <w:gridCol w:w="1134"/>
        <w:gridCol w:w="1134"/>
        <w:gridCol w:w="992"/>
        <w:gridCol w:w="993"/>
      </w:tblGrid>
      <w:tr w14:paraId="0340FA23">
        <w:tblPrEx>
          <w:tblCellMar>
            <w:top w:w="0" w:type="dxa"/>
            <w:left w:w="108" w:type="dxa"/>
            <w:bottom w:w="0" w:type="dxa"/>
            <w:right w:w="108" w:type="dxa"/>
          </w:tblCellMar>
        </w:tblPrEx>
        <w:trPr>
          <w:trHeight w:val="720" w:hRule="atLeast"/>
        </w:trPr>
        <w:tc>
          <w:tcPr>
            <w:tcW w:w="568" w:type="dxa"/>
            <w:tcBorders>
              <w:left w:val="nil"/>
              <w:bottom w:val="single" w:color="auto" w:sz="4" w:space="0"/>
              <w:right w:val="nil"/>
            </w:tcBorders>
          </w:tcPr>
          <w:p w14:paraId="63A74AFA">
            <w:pPr>
              <w:rPr>
                <w:b/>
              </w:rPr>
            </w:pPr>
            <w:r>
              <w:rPr>
                <w:b/>
              </w:rPr>
              <w:t xml:space="preserve">Groups </w:t>
            </w:r>
          </w:p>
        </w:tc>
        <w:tc>
          <w:tcPr>
            <w:tcW w:w="1134" w:type="dxa"/>
            <w:tcBorders>
              <w:left w:val="nil"/>
              <w:bottom w:val="single" w:color="auto" w:sz="4" w:space="0"/>
              <w:right w:val="nil"/>
            </w:tcBorders>
          </w:tcPr>
          <w:p w14:paraId="400C3DC8">
            <w:pPr>
              <w:rPr>
                <w:b/>
              </w:rPr>
            </w:pPr>
            <w:r>
              <w:rPr>
                <w:b/>
              </w:rPr>
              <w:t>Date of</w:t>
            </w:r>
          </w:p>
          <w:p w14:paraId="1EBA8CCA">
            <w:pPr>
              <w:rPr>
                <w:b/>
              </w:rPr>
            </w:pPr>
            <w:r>
              <w:rPr>
                <w:b/>
              </w:rPr>
              <w:t xml:space="preserve"> Infection</w:t>
            </w:r>
          </w:p>
        </w:tc>
        <w:tc>
          <w:tcPr>
            <w:tcW w:w="1134" w:type="dxa"/>
            <w:tcBorders>
              <w:left w:val="nil"/>
              <w:bottom w:val="single" w:color="auto" w:sz="4" w:space="0"/>
              <w:right w:val="nil"/>
            </w:tcBorders>
          </w:tcPr>
          <w:p w14:paraId="1D3D4629">
            <w:pPr>
              <w:rPr>
                <w:b/>
              </w:rPr>
            </w:pPr>
            <w:r>
              <w:rPr>
                <w:b/>
              </w:rPr>
              <w:t>1</w:t>
            </w:r>
            <w:r>
              <w:rPr>
                <w:b/>
                <w:vertAlign w:val="superscript"/>
              </w:rPr>
              <w:t>st</w:t>
            </w:r>
            <w:r>
              <w:rPr>
                <w:b/>
              </w:rPr>
              <w:t xml:space="preserve"> fecal  sampling </w:t>
            </w:r>
          </w:p>
        </w:tc>
        <w:tc>
          <w:tcPr>
            <w:tcW w:w="992" w:type="dxa"/>
            <w:tcBorders>
              <w:left w:val="nil"/>
              <w:bottom w:val="single" w:color="auto" w:sz="4" w:space="0"/>
              <w:right w:val="nil"/>
            </w:tcBorders>
          </w:tcPr>
          <w:p w14:paraId="5C8785F4">
            <w:pPr>
              <w:rPr>
                <w:b/>
              </w:rPr>
            </w:pPr>
            <w:r>
              <w:rPr>
                <w:b/>
              </w:rPr>
              <w:t>2</w:t>
            </w:r>
            <w:r>
              <w:rPr>
                <w:b/>
                <w:vertAlign w:val="superscript"/>
              </w:rPr>
              <w:t>nd</w:t>
            </w:r>
            <w:r>
              <w:rPr>
                <w:b/>
              </w:rPr>
              <w:t xml:space="preserve"> fecal</w:t>
            </w:r>
          </w:p>
          <w:p w14:paraId="47D4CDFB">
            <w:pPr>
              <w:rPr>
                <w:b/>
              </w:rPr>
            </w:pPr>
            <w:r>
              <w:rPr>
                <w:b/>
              </w:rPr>
              <w:t>samplin</w:t>
            </w:r>
          </w:p>
        </w:tc>
        <w:tc>
          <w:tcPr>
            <w:tcW w:w="1134" w:type="dxa"/>
            <w:tcBorders>
              <w:left w:val="nil"/>
              <w:bottom w:val="single" w:color="auto" w:sz="4" w:space="0"/>
              <w:right w:val="nil"/>
            </w:tcBorders>
          </w:tcPr>
          <w:p w14:paraId="1E73F774">
            <w:pPr>
              <w:jc w:val="left"/>
              <w:rPr>
                <w:b/>
                <w:bCs/>
              </w:rPr>
            </w:pPr>
            <w:r>
              <w:rPr>
                <w:b/>
              </w:rPr>
              <w:t>3</w:t>
            </w:r>
            <w:r>
              <w:rPr>
                <w:b/>
                <w:vertAlign w:val="superscript"/>
              </w:rPr>
              <w:t>rd</w:t>
            </w:r>
            <w:r>
              <w:rPr>
                <w:b/>
              </w:rPr>
              <w:t xml:space="preserve"> fecal sampling </w:t>
            </w:r>
          </w:p>
        </w:tc>
        <w:tc>
          <w:tcPr>
            <w:tcW w:w="1134" w:type="dxa"/>
            <w:tcBorders>
              <w:left w:val="nil"/>
              <w:bottom w:val="single" w:color="auto" w:sz="4" w:space="0"/>
              <w:right w:val="nil"/>
            </w:tcBorders>
          </w:tcPr>
          <w:p w14:paraId="46145865">
            <w:pPr>
              <w:jc w:val="left"/>
              <w:rPr>
                <w:b/>
              </w:rPr>
            </w:pPr>
            <w:r>
              <w:rPr>
                <w:b/>
                <w:bCs/>
              </w:rPr>
              <w:t>4</w:t>
            </w:r>
            <w:r>
              <w:rPr>
                <w:b/>
                <w:bCs/>
                <w:vertAlign w:val="superscript"/>
              </w:rPr>
              <w:t>th</w:t>
            </w:r>
            <w:r>
              <w:rPr>
                <w:b/>
                <w:bCs/>
              </w:rPr>
              <w:t xml:space="preserve"> fecal sampling</w:t>
            </w:r>
          </w:p>
        </w:tc>
        <w:tc>
          <w:tcPr>
            <w:tcW w:w="1134" w:type="dxa"/>
            <w:tcBorders>
              <w:left w:val="nil"/>
              <w:bottom w:val="single" w:color="auto" w:sz="4" w:space="0"/>
              <w:right w:val="nil"/>
            </w:tcBorders>
          </w:tcPr>
          <w:p w14:paraId="291CD4E4">
            <w:pPr>
              <w:rPr>
                <w:b/>
                <w:bCs/>
              </w:rPr>
            </w:pPr>
            <w:r>
              <w:rPr>
                <w:b/>
                <w:bCs/>
              </w:rPr>
              <w:t>6</w:t>
            </w:r>
            <w:r>
              <w:rPr>
                <w:b/>
                <w:bCs/>
                <w:vertAlign w:val="superscript"/>
              </w:rPr>
              <w:t xml:space="preserve">th </w:t>
            </w:r>
            <w:r>
              <w:rPr>
                <w:b/>
                <w:bCs/>
              </w:rPr>
              <w:t>fecal</w:t>
            </w:r>
          </w:p>
          <w:p w14:paraId="62AACB8F">
            <w:pPr>
              <w:rPr>
                <w:b/>
                <w:bCs/>
              </w:rPr>
            </w:pPr>
            <w:r>
              <w:rPr>
                <w:b/>
                <w:bCs/>
              </w:rPr>
              <w:t>sampling</w:t>
            </w:r>
          </w:p>
        </w:tc>
        <w:tc>
          <w:tcPr>
            <w:tcW w:w="992" w:type="dxa"/>
            <w:tcBorders>
              <w:left w:val="nil"/>
              <w:bottom w:val="single" w:color="auto" w:sz="4" w:space="0"/>
              <w:right w:val="nil"/>
            </w:tcBorders>
          </w:tcPr>
          <w:p w14:paraId="01809C51">
            <w:pPr>
              <w:jc w:val="left"/>
              <w:rPr>
                <w:b/>
              </w:rPr>
            </w:pPr>
            <w:r>
              <w:rPr>
                <w:b/>
              </w:rPr>
              <w:t>7</w:t>
            </w:r>
            <w:r>
              <w:rPr>
                <w:b/>
                <w:vertAlign w:val="superscript"/>
              </w:rPr>
              <w:t>th</w:t>
            </w:r>
            <w:r>
              <w:rPr>
                <w:b/>
              </w:rPr>
              <w:t xml:space="preserve"> fecal samplin</w:t>
            </w:r>
          </w:p>
        </w:tc>
        <w:tc>
          <w:tcPr>
            <w:tcW w:w="993" w:type="dxa"/>
            <w:tcBorders>
              <w:left w:val="nil"/>
              <w:bottom w:val="single" w:color="auto" w:sz="4" w:space="0"/>
              <w:right w:val="nil"/>
            </w:tcBorders>
          </w:tcPr>
          <w:p w14:paraId="5D29A5FE">
            <w:pPr>
              <w:rPr>
                <w:b/>
              </w:rPr>
            </w:pPr>
            <w:r>
              <w:rPr>
                <w:b/>
              </w:rPr>
              <w:t>Status</w:t>
            </w:r>
          </w:p>
        </w:tc>
      </w:tr>
      <w:tr w14:paraId="29566A98">
        <w:tblPrEx>
          <w:tblCellMar>
            <w:top w:w="0" w:type="dxa"/>
            <w:left w:w="108" w:type="dxa"/>
            <w:bottom w:w="0" w:type="dxa"/>
            <w:right w:w="108" w:type="dxa"/>
          </w:tblCellMar>
        </w:tblPrEx>
        <w:tc>
          <w:tcPr>
            <w:tcW w:w="568" w:type="dxa"/>
            <w:tcBorders>
              <w:left w:val="nil"/>
              <w:bottom w:val="nil"/>
              <w:right w:val="nil"/>
            </w:tcBorders>
          </w:tcPr>
          <w:p w14:paraId="17F2ABE5">
            <w:r>
              <w:t>1</w:t>
            </w:r>
          </w:p>
        </w:tc>
        <w:tc>
          <w:tcPr>
            <w:tcW w:w="1134" w:type="dxa"/>
            <w:tcBorders>
              <w:left w:val="nil"/>
              <w:bottom w:val="nil"/>
              <w:right w:val="nil"/>
            </w:tcBorders>
          </w:tcPr>
          <w:p w14:paraId="77AF9149">
            <w:r>
              <w:t>3</w:t>
            </w:r>
            <w:r>
              <w:rPr>
                <w:vertAlign w:val="superscript"/>
              </w:rPr>
              <w:t>rd</w:t>
            </w:r>
            <w:r>
              <w:t xml:space="preserve">  </w:t>
            </w:r>
          </w:p>
        </w:tc>
        <w:tc>
          <w:tcPr>
            <w:tcW w:w="1134" w:type="dxa"/>
            <w:tcBorders>
              <w:left w:val="nil"/>
              <w:bottom w:val="nil"/>
              <w:right w:val="nil"/>
            </w:tcBorders>
          </w:tcPr>
          <w:p w14:paraId="51B8CA40">
            <w:r>
              <w:t>2</w:t>
            </w:r>
            <w:r>
              <w:rPr>
                <w:vertAlign w:val="superscript"/>
              </w:rPr>
              <w:t>nd</w:t>
            </w:r>
            <w:r>
              <w:t xml:space="preserve"> wk </w:t>
            </w:r>
          </w:p>
        </w:tc>
        <w:tc>
          <w:tcPr>
            <w:tcW w:w="992" w:type="dxa"/>
            <w:tcBorders>
              <w:left w:val="nil"/>
              <w:bottom w:val="nil"/>
              <w:right w:val="nil"/>
            </w:tcBorders>
          </w:tcPr>
          <w:p w14:paraId="4092D0D7">
            <w:r>
              <w:t>3</w:t>
            </w:r>
            <w:r>
              <w:rPr>
                <w:vertAlign w:val="superscript"/>
              </w:rPr>
              <w:t>rd</w:t>
            </w:r>
            <w:r>
              <w:t xml:space="preserve">  wk </w:t>
            </w:r>
          </w:p>
        </w:tc>
        <w:tc>
          <w:tcPr>
            <w:tcW w:w="1134" w:type="dxa"/>
            <w:tcBorders>
              <w:left w:val="nil"/>
              <w:bottom w:val="nil"/>
              <w:right w:val="nil"/>
            </w:tcBorders>
          </w:tcPr>
          <w:p w14:paraId="5FA8850F">
            <w:r>
              <w:t>4</w:t>
            </w:r>
            <w:r>
              <w:rPr>
                <w:vertAlign w:val="superscript"/>
              </w:rPr>
              <w:t>th</w:t>
            </w:r>
            <w:r>
              <w:t xml:space="preserve"> wk </w:t>
            </w:r>
          </w:p>
        </w:tc>
        <w:tc>
          <w:tcPr>
            <w:tcW w:w="1134" w:type="dxa"/>
            <w:tcBorders>
              <w:left w:val="nil"/>
              <w:bottom w:val="nil"/>
              <w:right w:val="nil"/>
            </w:tcBorders>
          </w:tcPr>
          <w:p w14:paraId="3217E728">
            <w:r>
              <w:t>5</w:t>
            </w:r>
            <w:r>
              <w:rPr>
                <w:vertAlign w:val="superscript"/>
              </w:rPr>
              <w:t>th</w:t>
            </w:r>
            <w:r>
              <w:t xml:space="preserve"> wk</w:t>
            </w:r>
          </w:p>
        </w:tc>
        <w:tc>
          <w:tcPr>
            <w:tcW w:w="1134" w:type="dxa"/>
            <w:tcBorders>
              <w:left w:val="nil"/>
              <w:bottom w:val="nil"/>
              <w:right w:val="nil"/>
            </w:tcBorders>
          </w:tcPr>
          <w:p w14:paraId="2BDA9185">
            <w:r>
              <w:t>7</w:t>
            </w:r>
            <w:r>
              <w:rPr>
                <w:vertAlign w:val="superscript"/>
              </w:rPr>
              <w:t>th</w:t>
            </w:r>
            <w:r>
              <w:t xml:space="preserve"> wk</w:t>
            </w:r>
          </w:p>
        </w:tc>
        <w:tc>
          <w:tcPr>
            <w:tcW w:w="992" w:type="dxa"/>
            <w:tcBorders>
              <w:left w:val="nil"/>
              <w:bottom w:val="nil"/>
              <w:right w:val="nil"/>
            </w:tcBorders>
          </w:tcPr>
          <w:p w14:paraId="0A83F9BD">
            <w:r>
              <w:t>8</w:t>
            </w:r>
            <w:r>
              <w:rPr>
                <w:vertAlign w:val="superscript"/>
              </w:rPr>
              <w:t xml:space="preserve">th </w:t>
            </w:r>
            <w:r>
              <w:t>wk</w:t>
            </w:r>
          </w:p>
        </w:tc>
        <w:tc>
          <w:tcPr>
            <w:tcW w:w="993" w:type="dxa"/>
            <w:tcBorders>
              <w:left w:val="nil"/>
              <w:bottom w:val="nil"/>
              <w:right w:val="nil"/>
            </w:tcBorders>
          </w:tcPr>
          <w:p w14:paraId="080B6120">
            <w:r>
              <w:t>positive</w:t>
            </w:r>
          </w:p>
        </w:tc>
      </w:tr>
      <w:tr w14:paraId="6E4C945F">
        <w:tblPrEx>
          <w:tblCellMar>
            <w:top w:w="0" w:type="dxa"/>
            <w:left w:w="108" w:type="dxa"/>
            <w:bottom w:w="0" w:type="dxa"/>
            <w:right w:w="108" w:type="dxa"/>
          </w:tblCellMar>
        </w:tblPrEx>
        <w:tc>
          <w:tcPr>
            <w:tcW w:w="568" w:type="dxa"/>
            <w:tcBorders>
              <w:top w:val="nil"/>
              <w:left w:val="nil"/>
              <w:bottom w:val="nil"/>
              <w:right w:val="nil"/>
            </w:tcBorders>
          </w:tcPr>
          <w:p w14:paraId="2B98E887">
            <w:r>
              <w:t>3</w:t>
            </w:r>
          </w:p>
        </w:tc>
        <w:tc>
          <w:tcPr>
            <w:tcW w:w="1134" w:type="dxa"/>
            <w:tcBorders>
              <w:top w:val="nil"/>
              <w:left w:val="nil"/>
              <w:bottom w:val="nil"/>
              <w:right w:val="nil"/>
            </w:tcBorders>
          </w:tcPr>
          <w:p w14:paraId="0B428779">
            <w:r>
              <w:t>3</w:t>
            </w:r>
            <w:r>
              <w:rPr>
                <w:vertAlign w:val="superscript"/>
              </w:rPr>
              <w:t>rd</w:t>
            </w:r>
            <w:r>
              <w:t xml:space="preserve">   </w:t>
            </w:r>
          </w:p>
        </w:tc>
        <w:tc>
          <w:tcPr>
            <w:tcW w:w="1134" w:type="dxa"/>
            <w:tcBorders>
              <w:top w:val="nil"/>
              <w:left w:val="nil"/>
              <w:bottom w:val="nil"/>
              <w:right w:val="nil"/>
            </w:tcBorders>
          </w:tcPr>
          <w:p w14:paraId="3311491C">
            <w:r>
              <w:t>2</w:t>
            </w:r>
            <w:r>
              <w:rPr>
                <w:vertAlign w:val="superscript"/>
              </w:rPr>
              <w:t>nd</w:t>
            </w:r>
            <w:r>
              <w:t xml:space="preserve"> wk </w:t>
            </w:r>
          </w:p>
        </w:tc>
        <w:tc>
          <w:tcPr>
            <w:tcW w:w="992" w:type="dxa"/>
            <w:tcBorders>
              <w:top w:val="nil"/>
              <w:left w:val="nil"/>
              <w:bottom w:val="nil"/>
              <w:right w:val="nil"/>
            </w:tcBorders>
          </w:tcPr>
          <w:p w14:paraId="309AD89F">
            <w:r>
              <w:t>3</w:t>
            </w:r>
            <w:r>
              <w:rPr>
                <w:vertAlign w:val="superscript"/>
              </w:rPr>
              <w:t>rd</w:t>
            </w:r>
            <w:r>
              <w:t xml:space="preserve">  wk </w:t>
            </w:r>
          </w:p>
        </w:tc>
        <w:tc>
          <w:tcPr>
            <w:tcW w:w="1134" w:type="dxa"/>
            <w:tcBorders>
              <w:top w:val="nil"/>
              <w:left w:val="nil"/>
              <w:bottom w:val="nil"/>
              <w:right w:val="nil"/>
            </w:tcBorders>
          </w:tcPr>
          <w:p w14:paraId="4EBE49BC">
            <w:r>
              <w:t>4</w:t>
            </w:r>
            <w:r>
              <w:rPr>
                <w:vertAlign w:val="superscript"/>
              </w:rPr>
              <w:t>th</w:t>
            </w:r>
            <w:r>
              <w:t xml:space="preserve"> wk </w:t>
            </w:r>
          </w:p>
        </w:tc>
        <w:tc>
          <w:tcPr>
            <w:tcW w:w="1134" w:type="dxa"/>
            <w:tcBorders>
              <w:top w:val="nil"/>
              <w:left w:val="nil"/>
              <w:bottom w:val="nil"/>
              <w:right w:val="nil"/>
            </w:tcBorders>
          </w:tcPr>
          <w:p w14:paraId="0F8AC254">
            <w:r>
              <w:t>5</w:t>
            </w:r>
            <w:r>
              <w:rPr>
                <w:vertAlign w:val="superscript"/>
              </w:rPr>
              <w:t>th</w:t>
            </w:r>
            <w:r>
              <w:t xml:space="preserve"> wk</w:t>
            </w:r>
          </w:p>
        </w:tc>
        <w:tc>
          <w:tcPr>
            <w:tcW w:w="1134" w:type="dxa"/>
            <w:tcBorders>
              <w:top w:val="nil"/>
              <w:left w:val="nil"/>
              <w:bottom w:val="nil"/>
              <w:right w:val="nil"/>
            </w:tcBorders>
          </w:tcPr>
          <w:p w14:paraId="29BDF334">
            <w:r>
              <w:t>7</w:t>
            </w:r>
            <w:r>
              <w:rPr>
                <w:vertAlign w:val="superscript"/>
              </w:rPr>
              <w:t xml:space="preserve">th </w:t>
            </w:r>
            <w:r>
              <w:t>wk</w:t>
            </w:r>
          </w:p>
        </w:tc>
        <w:tc>
          <w:tcPr>
            <w:tcW w:w="992" w:type="dxa"/>
            <w:tcBorders>
              <w:top w:val="nil"/>
              <w:left w:val="nil"/>
              <w:bottom w:val="nil"/>
              <w:right w:val="nil"/>
            </w:tcBorders>
          </w:tcPr>
          <w:p w14:paraId="4157DAAC">
            <w:r>
              <w:t>8</w:t>
            </w:r>
            <w:r>
              <w:rPr>
                <w:vertAlign w:val="superscript"/>
              </w:rPr>
              <w:t xml:space="preserve">th </w:t>
            </w:r>
            <w:r>
              <w:t>wk</w:t>
            </w:r>
          </w:p>
        </w:tc>
        <w:tc>
          <w:tcPr>
            <w:tcW w:w="993" w:type="dxa"/>
            <w:tcBorders>
              <w:top w:val="nil"/>
              <w:left w:val="nil"/>
              <w:bottom w:val="nil"/>
              <w:right w:val="nil"/>
            </w:tcBorders>
          </w:tcPr>
          <w:p w14:paraId="1B045C41">
            <w:r>
              <w:t>positive</w:t>
            </w:r>
          </w:p>
        </w:tc>
      </w:tr>
      <w:tr w14:paraId="0C9B24EA">
        <w:tblPrEx>
          <w:tblCellMar>
            <w:top w:w="0" w:type="dxa"/>
            <w:left w:w="108" w:type="dxa"/>
            <w:bottom w:w="0" w:type="dxa"/>
            <w:right w:w="108" w:type="dxa"/>
          </w:tblCellMar>
        </w:tblPrEx>
        <w:tc>
          <w:tcPr>
            <w:tcW w:w="568" w:type="dxa"/>
            <w:tcBorders>
              <w:top w:val="nil"/>
              <w:left w:val="nil"/>
              <w:bottom w:val="single" w:color="auto" w:sz="4" w:space="0"/>
              <w:right w:val="nil"/>
            </w:tcBorders>
          </w:tcPr>
          <w:p w14:paraId="49EA515C">
            <w:r>
              <w:t>7</w:t>
            </w:r>
          </w:p>
        </w:tc>
        <w:tc>
          <w:tcPr>
            <w:tcW w:w="1134" w:type="dxa"/>
            <w:tcBorders>
              <w:top w:val="nil"/>
              <w:left w:val="nil"/>
              <w:bottom w:val="single" w:color="auto" w:sz="4" w:space="0"/>
              <w:right w:val="nil"/>
            </w:tcBorders>
          </w:tcPr>
          <w:p w14:paraId="74C4F9C4">
            <w:r>
              <w:t>3</w:t>
            </w:r>
            <w:r>
              <w:rPr>
                <w:vertAlign w:val="superscript"/>
              </w:rPr>
              <w:t>rd</w:t>
            </w:r>
            <w:r>
              <w:t xml:space="preserve">  </w:t>
            </w:r>
          </w:p>
        </w:tc>
        <w:tc>
          <w:tcPr>
            <w:tcW w:w="1134" w:type="dxa"/>
            <w:tcBorders>
              <w:top w:val="nil"/>
              <w:left w:val="nil"/>
              <w:bottom w:val="single" w:color="auto" w:sz="4" w:space="0"/>
              <w:right w:val="nil"/>
            </w:tcBorders>
          </w:tcPr>
          <w:p w14:paraId="012744AA">
            <w:r>
              <w:t>2</w:t>
            </w:r>
            <w:r>
              <w:rPr>
                <w:vertAlign w:val="superscript"/>
              </w:rPr>
              <w:t>nd</w:t>
            </w:r>
            <w:r>
              <w:t xml:space="preserve"> wk </w:t>
            </w:r>
          </w:p>
        </w:tc>
        <w:tc>
          <w:tcPr>
            <w:tcW w:w="992" w:type="dxa"/>
            <w:tcBorders>
              <w:top w:val="nil"/>
              <w:left w:val="nil"/>
              <w:bottom w:val="single" w:color="auto" w:sz="4" w:space="0"/>
              <w:right w:val="nil"/>
            </w:tcBorders>
          </w:tcPr>
          <w:p w14:paraId="6638CE80">
            <w:r>
              <w:t>3</w:t>
            </w:r>
            <w:r>
              <w:rPr>
                <w:vertAlign w:val="superscript"/>
              </w:rPr>
              <w:t>rd</w:t>
            </w:r>
            <w:r>
              <w:t xml:space="preserve">  wk </w:t>
            </w:r>
          </w:p>
        </w:tc>
        <w:tc>
          <w:tcPr>
            <w:tcW w:w="1134" w:type="dxa"/>
            <w:tcBorders>
              <w:top w:val="nil"/>
              <w:left w:val="nil"/>
              <w:bottom w:val="single" w:color="auto" w:sz="4" w:space="0"/>
              <w:right w:val="nil"/>
            </w:tcBorders>
          </w:tcPr>
          <w:p w14:paraId="010E39E4">
            <w:r>
              <w:t>4</w:t>
            </w:r>
            <w:r>
              <w:rPr>
                <w:vertAlign w:val="superscript"/>
              </w:rPr>
              <w:t>th</w:t>
            </w:r>
            <w:r>
              <w:t xml:space="preserve"> wk </w:t>
            </w:r>
          </w:p>
        </w:tc>
        <w:tc>
          <w:tcPr>
            <w:tcW w:w="1134" w:type="dxa"/>
            <w:tcBorders>
              <w:top w:val="nil"/>
              <w:left w:val="nil"/>
              <w:bottom w:val="single" w:color="auto" w:sz="4" w:space="0"/>
              <w:right w:val="nil"/>
            </w:tcBorders>
          </w:tcPr>
          <w:p w14:paraId="7C476DA5">
            <w:r>
              <w:t>5</w:t>
            </w:r>
            <w:r>
              <w:rPr>
                <w:vertAlign w:val="superscript"/>
              </w:rPr>
              <w:t>th</w:t>
            </w:r>
            <w:r>
              <w:t xml:space="preserve"> wk</w:t>
            </w:r>
          </w:p>
        </w:tc>
        <w:tc>
          <w:tcPr>
            <w:tcW w:w="1134" w:type="dxa"/>
            <w:tcBorders>
              <w:top w:val="nil"/>
              <w:left w:val="nil"/>
              <w:bottom w:val="single" w:color="auto" w:sz="4" w:space="0"/>
              <w:right w:val="nil"/>
            </w:tcBorders>
          </w:tcPr>
          <w:p w14:paraId="35206335">
            <w:r>
              <w:t>7</w:t>
            </w:r>
            <w:r>
              <w:rPr>
                <w:vertAlign w:val="superscript"/>
              </w:rPr>
              <w:t xml:space="preserve">th </w:t>
            </w:r>
            <w:r>
              <w:t>wk</w:t>
            </w:r>
          </w:p>
        </w:tc>
        <w:tc>
          <w:tcPr>
            <w:tcW w:w="992" w:type="dxa"/>
            <w:tcBorders>
              <w:top w:val="nil"/>
              <w:left w:val="nil"/>
              <w:bottom w:val="single" w:color="auto" w:sz="4" w:space="0"/>
              <w:right w:val="nil"/>
            </w:tcBorders>
          </w:tcPr>
          <w:p w14:paraId="694E3EEB">
            <w:r>
              <w:t>8</w:t>
            </w:r>
            <w:r>
              <w:rPr>
                <w:vertAlign w:val="superscript"/>
              </w:rPr>
              <w:t xml:space="preserve">th </w:t>
            </w:r>
            <w:r>
              <w:t>wk</w:t>
            </w:r>
          </w:p>
        </w:tc>
        <w:tc>
          <w:tcPr>
            <w:tcW w:w="993" w:type="dxa"/>
            <w:tcBorders>
              <w:top w:val="nil"/>
              <w:left w:val="nil"/>
              <w:bottom w:val="single" w:color="auto" w:sz="4" w:space="0"/>
              <w:right w:val="nil"/>
            </w:tcBorders>
          </w:tcPr>
          <w:p w14:paraId="4CE95111">
            <w:r>
              <w:t>positive</w:t>
            </w:r>
          </w:p>
        </w:tc>
      </w:tr>
    </w:tbl>
    <w:p w14:paraId="225FDE70">
      <w:pPr>
        <w:spacing w:line="240" w:lineRule="auto"/>
      </w:pPr>
      <w:r>
        <w:t xml:space="preserve">Key: wk = week         samplin=sampling   </w:t>
      </w:r>
    </w:p>
    <w:p w14:paraId="2732C98F">
      <w:pPr>
        <w:spacing w:line="240" w:lineRule="auto"/>
      </w:pPr>
    </w:p>
    <w:p w14:paraId="23A5C6B7">
      <w:pPr>
        <w:pStyle w:val="3"/>
        <w:spacing w:before="0" w:after="0"/>
      </w:pPr>
      <w:bookmarkStart w:id="58" w:name="_Toc170937974"/>
      <w:bookmarkStart w:id="59" w:name="_Toc168390153"/>
      <w:bookmarkStart w:id="60" w:name="_Toc168523138"/>
      <w:r>
        <w:t>3.8. Preparation of Honey and its Administration</w:t>
      </w:r>
      <w:bookmarkEnd w:id="58"/>
      <w:bookmarkEnd w:id="59"/>
      <w:bookmarkEnd w:id="60"/>
    </w:p>
    <w:p w14:paraId="648BA971">
      <w:pPr>
        <w:spacing w:line="240" w:lineRule="auto"/>
      </w:pPr>
    </w:p>
    <w:p w14:paraId="6E68A751">
      <w:r>
        <w:t xml:space="preserve">Honey was bought from supermarket of Ethiopian origin (Bishoftu) and diluted using distilled water. It was given for the groups classified as honey fed (group 5 (honey with HB1/LaSota), group 6 (honey with NCTH) and group 8 (only honey fed). The 5ml/week honey (Mshelia </w:t>
      </w:r>
      <w:r>
        <w:rPr>
          <w:i/>
        </w:rPr>
        <w:t>et al</w:t>
      </w:r>
      <w:r>
        <w:t>., 2016) was given orally with drinking water for the chickens starting from 6</w:t>
      </w:r>
      <w:r>
        <w:rPr>
          <w:vertAlign w:val="superscript"/>
        </w:rPr>
        <w:t>th</w:t>
      </w:r>
      <w:r>
        <w:t>-day old till the end of the honey experiment. These groups also followed all the sampling procedures applied with seven days interval starting from day 0 till day 49 then HI was done. The serum samples were tested for Newcastle disease virus specific antibodies using a modification of the HI test.</w:t>
      </w:r>
    </w:p>
    <w:p w14:paraId="40A3C822">
      <w:pPr>
        <w:pStyle w:val="10"/>
        <w:spacing w:after="0"/>
        <w:rPr>
          <w:color w:val="auto"/>
          <w:sz w:val="24"/>
          <w:szCs w:val="24"/>
        </w:rPr>
      </w:pPr>
      <w:bookmarkStart w:id="61" w:name="_Toc168574019"/>
      <w:r>
        <w:rPr>
          <w:color w:val="auto"/>
          <w:sz w:val="24"/>
          <w:szCs w:val="24"/>
        </w:rPr>
        <w:t xml:space="preserve">Table </w:t>
      </w:r>
      <w:r>
        <w:rPr>
          <w:color w:val="auto"/>
          <w:sz w:val="24"/>
          <w:szCs w:val="24"/>
        </w:rPr>
        <w:fldChar w:fldCharType="begin"/>
      </w:r>
      <w:r>
        <w:rPr>
          <w:color w:val="auto"/>
          <w:sz w:val="24"/>
          <w:szCs w:val="24"/>
        </w:rPr>
        <w:instrText xml:space="preserve"> SEQ Table \* ARABIC </w:instrText>
      </w:r>
      <w:r>
        <w:rPr>
          <w:color w:val="auto"/>
          <w:sz w:val="24"/>
          <w:szCs w:val="24"/>
        </w:rPr>
        <w:fldChar w:fldCharType="separate"/>
      </w:r>
      <w:r>
        <w:rPr>
          <w:color w:val="auto"/>
          <w:sz w:val="24"/>
          <w:szCs w:val="24"/>
        </w:rPr>
        <w:t>4</w:t>
      </w:r>
      <w:r>
        <w:rPr>
          <w:color w:val="auto"/>
          <w:sz w:val="24"/>
          <w:szCs w:val="24"/>
        </w:rPr>
        <w:fldChar w:fldCharType="end"/>
      </w:r>
      <w:r>
        <w:rPr>
          <w:color w:val="auto"/>
          <w:sz w:val="24"/>
          <w:szCs w:val="24"/>
        </w:rPr>
        <w:t xml:space="preserve">: </w:t>
      </w:r>
      <w:r>
        <w:rPr>
          <w:b w:val="0"/>
          <w:color w:val="auto"/>
          <w:sz w:val="24"/>
          <w:szCs w:val="24"/>
        </w:rPr>
        <w:t>Preparation of honey and its administration</w:t>
      </w:r>
      <w:bookmarkEnd w:id="61"/>
    </w:p>
    <w:tbl>
      <w:tblPr>
        <w:tblStyle w:val="8"/>
        <w:tblW w:w="0" w:type="auto"/>
        <w:tblInd w:w="0" w:type="dxa"/>
        <w:tblLayout w:type="fixed"/>
        <w:tblCellMar>
          <w:top w:w="0" w:type="dxa"/>
          <w:left w:w="108" w:type="dxa"/>
          <w:bottom w:w="0" w:type="dxa"/>
          <w:right w:w="108" w:type="dxa"/>
        </w:tblCellMar>
      </w:tblPr>
      <w:tblGrid>
        <w:gridCol w:w="1701"/>
        <w:gridCol w:w="1276"/>
        <w:gridCol w:w="1701"/>
        <w:gridCol w:w="1701"/>
        <w:gridCol w:w="992"/>
        <w:gridCol w:w="1710"/>
      </w:tblGrid>
      <w:tr w14:paraId="79C8BA07">
        <w:tblPrEx>
          <w:tblCellMar>
            <w:top w:w="0" w:type="dxa"/>
            <w:left w:w="108" w:type="dxa"/>
            <w:bottom w:w="0" w:type="dxa"/>
            <w:right w:w="108" w:type="dxa"/>
          </w:tblCellMar>
        </w:tblPrEx>
        <w:tc>
          <w:tcPr>
            <w:tcW w:w="1701" w:type="dxa"/>
            <w:tcBorders>
              <w:left w:val="nil"/>
              <w:bottom w:val="single" w:color="auto" w:sz="4" w:space="0"/>
              <w:right w:val="nil"/>
            </w:tcBorders>
          </w:tcPr>
          <w:p w14:paraId="298B4EDA">
            <w:pPr>
              <w:jc w:val="center"/>
              <w:rPr>
                <w:b/>
                <w:szCs w:val="24"/>
              </w:rPr>
            </w:pPr>
            <w:r>
              <w:rPr>
                <w:b/>
                <w:szCs w:val="24"/>
              </w:rPr>
              <w:t>Groups of honey fed</w:t>
            </w:r>
          </w:p>
        </w:tc>
        <w:tc>
          <w:tcPr>
            <w:tcW w:w="1276" w:type="dxa"/>
            <w:tcBorders>
              <w:left w:val="nil"/>
              <w:bottom w:val="single" w:color="auto" w:sz="4" w:space="0"/>
              <w:right w:val="nil"/>
            </w:tcBorders>
          </w:tcPr>
          <w:p w14:paraId="1D1C89D8">
            <w:pPr>
              <w:rPr>
                <w:b/>
                <w:szCs w:val="24"/>
              </w:rPr>
            </w:pPr>
            <w:r>
              <w:rPr>
                <w:b/>
                <w:szCs w:val="24"/>
              </w:rPr>
              <w:t>Type of</w:t>
            </w:r>
          </w:p>
          <w:p w14:paraId="3FCCBE7A">
            <w:pPr>
              <w:rPr>
                <w:b/>
                <w:szCs w:val="24"/>
              </w:rPr>
            </w:pPr>
            <w:r>
              <w:rPr>
                <w:b/>
                <w:szCs w:val="24"/>
              </w:rPr>
              <w:t xml:space="preserve"> Vaccine</w:t>
            </w:r>
          </w:p>
        </w:tc>
        <w:tc>
          <w:tcPr>
            <w:tcW w:w="1701" w:type="dxa"/>
            <w:tcBorders>
              <w:left w:val="nil"/>
              <w:bottom w:val="single" w:color="auto" w:sz="4" w:space="0"/>
              <w:right w:val="nil"/>
            </w:tcBorders>
          </w:tcPr>
          <w:p w14:paraId="5A01A416">
            <w:pPr>
              <w:rPr>
                <w:b/>
                <w:szCs w:val="24"/>
              </w:rPr>
            </w:pPr>
            <w:r>
              <w:rPr>
                <w:b/>
                <w:szCs w:val="24"/>
              </w:rPr>
              <w:t xml:space="preserve">Administration date </w:t>
            </w:r>
          </w:p>
        </w:tc>
        <w:tc>
          <w:tcPr>
            <w:tcW w:w="1701" w:type="dxa"/>
            <w:tcBorders>
              <w:left w:val="nil"/>
              <w:bottom w:val="single" w:color="auto" w:sz="4" w:space="0"/>
              <w:right w:val="nil"/>
            </w:tcBorders>
          </w:tcPr>
          <w:p w14:paraId="1DA81BD9">
            <w:pPr>
              <w:rPr>
                <w:b/>
                <w:szCs w:val="24"/>
              </w:rPr>
            </w:pPr>
            <w:r>
              <w:rPr>
                <w:b/>
                <w:szCs w:val="24"/>
              </w:rPr>
              <w:t>Dose of honey given</w:t>
            </w:r>
          </w:p>
        </w:tc>
        <w:tc>
          <w:tcPr>
            <w:tcW w:w="992" w:type="dxa"/>
            <w:tcBorders>
              <w:left w:val="nil"/>
              <w:bottom w:val="single" w:color="auto" w:sz="4" w:space="0"/>
              <w:right w:val="nil"/>
            </w:tcBorders>
          </w:tcPr>
          <w:p w14:paraId="230C3A4C">
            <w:pPr>
              <w:rPr>
                <w:b/>
                <w:szCs w:val="24"/>
              </w:rPr>
            </w:pPr>
            <w:r>
              <w:rPr>
                <w:b/>
                <w:szCs w:val="24"/>
              </w:rPr>
              <w:t xml:space="preserve">Route </w:t>
            </w:r>
          </w:p>
        </w:tc>
        <w:tc>
          <w:tcPr>
            <w:tcW w:w="1710" w:type="dxa"/>
            <w:tcBorders>
              <w:left w:val="nil"/>
              <w:bottom w:val="single" w:color="auto" w:sz="4" w:space="0"/>
              <w:right w:val="nil"/>
            </w:tcBorders>
          </w:tcPr>
          <w:p w14:paraId="3C1173D9">
            <w:pPr>
              <w:rPr>
                <w:b/>
                <w:szCs w:val="24"/>
              </w:rPr>
            </w:pPr>
            <w:r>
              <w:rPr>
                <w:b/>
                <w:szCs w:val="24"/>
              </w:rPr>
              <w:t>Sampling date</w:t>
            </w:r>
          </w:p>
        </w:tc>
      </w:tr>
      <w:tr w14:paraId="34B61482">
        <w:tblPrEx>
          <w:tblCellMar>
            <w:top w:w="0" w:type="dxa"/>
            <w:left w:w="108" w:type="dxa"/>
            <w:bottom w:w="0" w:type="dxa"/>
            <w:right w:w="108" w:type="dxa"/>
          </w:tblCellMar>
        </w:tblPrEx>
        <w:tc>
          <w:tcPr>
            <w:tcW w:w="1701" w:type="dxa"/>
            <w:tcBorders>
              <w:left w:val="nil"/>
              <w:bottom w:val="nil"/>
              <w:right w:val="nil"/>
            </w:tcBorders>
          </w:tcPr>
          <w:p w14:paraId="37E97C88">
            <w:pPr>
              <w:rPr>
                <w:szCs w:val="24"/>
              </w:rPr>
            </w:pPr>
            <w:r>
              <w:rPr>
                <w:szCs w:val="24"/>
              </w:rPr>
              <w:t>5</w:t>
            </w:r>
          </w:p>
        </w:tc>
        <w:tc>
          <w:tcPr>
            <w:tcW w:w="1276" w:type="dxa"/>
            <w:tcBorders>
              <w:left w:val="nil"/>
              <w:bottom w:val="nil"/>
              <w:right w:val="nil"/>
            </w:tcBorders>
          </w:tcPr>
          <w:p w14:paraId="4442BE2D">
            <w:pPr>
              <w:rPr>
                <w:szCs w:val="24"/>
              </w:rPr>
            </w:pPr>
            <w:r>
              <w:rPr>
                <w:szCs w:val="24"/>
              </w:rPr>
              <w:t>HB1+lasota</w:t>
            </w:r>
          </w:p>
        </w:tc>
        <w:tc>
          <w:tcPr>
            <w:tcW w:w="1701" w:type="dxa"/>
            <w:tcBorders>
              <w:left w:val="nil"/>
              <w:bottom w:val="nil"/>
              <w:right w:val="nil"/>
            </w:tcBorders>
          </w:tcPr>
          <w:p w14:paraId="1B9E9308">
            <w:pPr>
              <w:rPr>
                <w:szCs w:val="24"/>
              </w:rPr>
            </w:pPr>
            <w:r>
              <w:rPr>
                <w:szCs w:val="24"/>
              </w:rPr>
              <w:t>1d before</w:t>
            </w:r>
          </w:p>
          <w:p w14:paraId="03D53C1E">
            <w:pPr>
              <w:rPr>
                <w:szCs w:val="24"/>
              </w:rPr>
            </w:pPr>
            <w:r>
              <w:rPr>
                <w:szCs w:val="24"/>
              </w:rPr>
              <w:t xml:space="preserve"> 1</w:t>
            </w:r>
            <w:r>
              <w:rPr>
                <w:szCs w:val="24"/>
                <w:vertAlign w:val="superscript"/>
              </w:rPr>
              <w:t>st</w:t>
            </w:r>
            <w:r>
              <w:rPr>
                <w:szCs w:val="24"/>
              </w:rPr>
              <w:t xml:space="preserve"> vaccination</w:t>
            </w:r>
          </w:p>
        </w:tc>
        <w:tc>
          <w:tcPr>
            <w:tcW w:w="1701" w:type="dxa"/>
            <w:tcBorders>
              <w:left w:val="nil"/>
              <w:bottom w:val="nil"/>
              <w:right w:val="nil"/>
            </w:tcBorders>
          </w:tcPr>
          <w:p w14:paraId="4050A03F">
            <w:pPr>
              <w:rPr>
                <w:szCs w:val="24"/>
              </w:rPr>
            </w:pPr>
            <w:r>
              <w:rPr>
                <w:szCs w:val="24"/>
              </w:rPr>
              <w:t>5ml/wk</w:t>
            </w:r>
          </w:p>
        </w:tc>
        <w:tc>
          <w:tcPr>
            <w:tcW w:w="992" w:type="dxa"/>
            <w:tcBorders>
              <w:left w:val="nil"/>
              <w:bottom w:val="nil"/>
              <w:right w:val="nil"/>
            </w:tcBorders>
          </w:tcPr>
          <w:p w14:paraId="1515F1B8">
            <w:pPr>
              <w:rPr>
                <w:szCs w:val="24"/>
              </w:rPr>
            </w:pPr>
            <w:r>
              <w:rPr>
                <w:szCs w:val="24"/>
              </w:rPr>
              <w:t>Oral</w:t>
            </w:r>
          </w:p>
        </w:tc>
        <w:tc>
          <w:tcPr>
            <w:tcW w:w="1710" w:type="dxa"/>
            <w:tcBorders>
              <w:left w:val="nil"/>
              <w:bottom w:val="nil"/>
              <w:right w:val="nil"/>
            </w:tcBorders>
          </w:tcPr>
          <w:p w14:paraId="1DCD2AE6">
            <w:pPr>
              <w:jc w:val="left"/>
              <w:rPr>
                <w:szCs w:val="24"/>
              </w:rPr>
            </w:pPr>
            <w:r>
              <w:rPr>
                <w:szCs w:val="24"/>
              </w:rPr>
              <w:t>a week post administer</w:t>
            </w:r>
          </w:p>
        </w:tc>
      </w:tr>
      <w:tr w14:paraId="600BB14B">
        <w:tblPrEx>
          <w:tblCellMar>
            <w:top w:w="0" w:type="dxa"/>
            <w:left w:w="108" w:type="dxa"/>
            <w:bottom w:w="0" w:type="dxa"/>
            <w:right w:w="108" w:type="dxa"/>
          </w:tblCellMar>
        </w:tblPrEx>
        <w:tc>
          <w:tcPr>
            <w:tcW w:w="1701" w:type="dxa"/>
            <w:tcBorders>
              <w:top w:val="nil"/>
              <w:left w:val="nil"/>
              <w:bottom w:val="nil"/>
              <w:right w:val="nil"/>
            </w:tcBorders>
          </w:tcPr>
          <w:p w14:paraId="48B0F16B">
            <w:pPr>
              <w:rPr>
                <w:szCs w:val="24"/>
              </w:rPr>
            </w:pPr>
            <w:r>
              <w:rPr>
                <w:szCs w:val="24"/>
              </w:rPr>
              <w:t>6</w:t>
            </w:r>
          </w:p>
        </w:tc>
        <w:tc>
          <w:tcPr>
            <w:tcW w:w="1276" w:type="dxa"/>
            <w:tcBorders>
              <w:top w:val="nil"/>
              <w:left w:val="nil"/>
              <w:bottom w:val="nil"/>
              <w:right w:val="nil"/>
            </w:tcBorders>
          </w:tcPr>
          <w:p w14:paraId="02AD9A3D">
            <w:pPr>
              <w:rPr>
                <w:szCs w:val="24"/>
              </w:rPr>
            </w:pPr>
            <w:r>
              <w:rPr>
                <w:szCs w:val="24"/>
              </w:rPr>
              <w:t>NCTH</w:t>
            </w:r>
          </w:p>
        </w:tc>
        <w:tc>
          <w:tcPr>
            <w:tcW w:w="1701" w:type="dxa"/>
            <w:tcBorders>
              <w:top w:val="nil"/>
              <w:left w:val="nil"/>
              <w:bottom w:val="nil"/>
              <w:right w:val="nil"/>
            </w:tcBorders>
          </w:tcPr>
          <w:p w14:paraId="290A43DC">
            <w:pPr>
              <w:rPr>
                <w:szCs w:val="24"/>
              </w:rPr>
            </w:pPr>
            <w:r>
              <w:rPr>
                <w:szCs w:val="24"/>
              </w:rPr>
              <w:t>1d before</w:t>
            </w:r>
          </w:p>
          <w:p w14:paraId="43F9EF4A">
            <w:pPr>
              <w:rPr>
                <w:szCs w:val="24"/>
              </w:rPr>
            </w:pPr>
            <w:r>
              <w:rPr>
                <w:szCs w:val="24"/>
              </w:rPr>
              <w:t xml:space="preserve"> 1</w:t>
            </w:r>
            <w:r>
              <w:rPr>
                <w:szCs w:val="24"/>
                <w:vertAlign w:val="superscript"/>
              </w:rPr>
              <w:t>st</w:t>
            </w:r>
            <w:r>
              <w:rPr>
                <w:szCs w:val="24"/>
              </w:rPr>
              <w:t xml:space="preserve"> vaccination</w:t>
            </w:r>
          </w:p>
        </w:tc>
        <w:tc>
          <w:tcPr>
            <w:tcW w:w="1701" w:type="dxa"/>
            <w:tcBorders>
              <w:top w:val="nil"/>
              <w:left w:val="nil"/>
              <w:bottom w:val="nil"/>
              <w:right w:val="nil"/>
            </w:tcBorders>
          </w:tcPr>
          <w:p w14:paraId="1DB5F650">
            <w:pPr>
              <w:rPr>
                <w:szCs w:val="24"/>
              </w:rPr>
            </w:pPr>
            <w:r>
              <w:rPr>
                <w:szCs w:val="24"/>
              </w:rPr>
              <w:t>5ml/wk</w:t>
            </w:r>
          </w:p>
        </w:tc>
        <w:tc>
          <w:tcPr>
            <w:tcW w:w="992" w:type="dxa"/>
            <w:tcBorders>
              <w:top w:val="nil"/>
              <w:left w:val="nil"/>
              <w:bottom w:val="nil"/>
              <w:right w:val="nil"/>
            </w:tcBorders>
          </w:tcPr>
          <w:p w14:paraId="2556A462">
            <w:pPr>
              <w:rPr>
                <w:szCs w:val="24"/>
              </w:rPr>
            </w:pPr>
            <w:r>
              <w:rPr>
                <w:szCs w:val="24"/>
              </w:rPr>
              <w:t>Oral</w:t>
            </w:r>
          </w:p>
        </w:tc>
        <w:tc>
          <w:tcPr>
            <w:tcW w:w="1710" w:type="dxa"/>
            <w:tcBorders>
              <w:top w:val="nil"/>
              <w:left w:val="nil"/>
              <w:bottom w:val="nil"/>
              <w:right w:val="nil"/>
            </w:tcBorders>
          </w:tcPr>
          <w:p w14:paraId="68CDE7E6">
            <w:pPr>
              <w:rPr>
                <w:szCs w:val="24"/>
              </w:rPr>
            </w:pPr>
            <w:r>
              <w:rPr>
                <w:szCs w:val="24"/>
              </w:rPr>
              <w:t>a week post administer</w:t>
            </w:r>
          </w:p>
        </w:tc>
      </w:tr>
      <w:tr w14:paraId="1713522D">
        <w:tblPrEx>
          <w:tblCellMar>
            <w:top w:w="0" w:type="dxa"/>
            <w:left w:w="108" w:type="dxa"/>
            <w:bottom w:w="0" w:type="dxa"/>
            <w:right w:w="108" w:type="dxa"/>
          </w:tblCellMar>
        </w:tblPrEx>
        <w:tc>
          <w:tcPr>
            <w:tcW w:w="1701" w:type="dxa"/>
            <w:tcBorders>
              <w:top w:val="nil"/>
              <w:left w:val="nil"/>
              <w:right w:val="nil"/>
            </w:tcBorders>
          </w:tcPr>
          <w:p w14:paraId="34A31685">
            <w:pPr>
              <w:rPr>
                <w:szCs w:val="24"/>
              </w:rPr>
            </w:pPr>
            <w:r>
              <w:rPr>
                <w:szCs w:val="24"/>
              </w:rPr>
              <w:t>8</w:t>
            </w:r>
          </w:p>
        </w:tc>
        <w:tc>
          <w:tcPr>
            <w:tcW w:w="1276" w:type="dxa"/>
            <w:tcBorders>
              <w:top w:val="nil"/>
              <w:left w:val="nil"/>
              <w:right w:val="nil"/>
            </w:tcBorders>
          </w:tcPr>
          <w:p w14:paraId="0F89B8C8">
            <w:pPr>
              <w:rPr>
                <w:szCs w:val="24"/>
              </w:rPr>
            </w:pPr>
            <w:r>
              <w:rPr>
                <w:szCs w:val="24"/>
              </w:rPr>
              <w:t>----</w:t>
            </w:r>
          </w:p>
        </w:tc>
        <w:tc>
          <w:tcPr>
            <w:tcW w:w="1701" w:type="dxa"/>
            <w:tcBorders>
              <w:top w:val="nil"/>
              <w:left w:val="nil"/>
              <w:right w:val="nil"/>
            </w:tcBorders>
          </w:tcPr>
          <w:p w14:paraId="48146E8B">
            <w:pPr>
              <w:rPr>
                <w:szCs w:val="24"/>
              </w:rPr>
            </w:pPr>
            <w:r>
              <w:rPr>
                <w:szCs w:val="24"/>
              </w:rPr>
              <w:t>On 6</w:t>
            </w:r>
            <w:r>
              <w:rPr>
                <w:szCs w:val="24"/>
                <w:vertAlign w:val="superscript"/>
              </w:rPr>
              <w:t>th</w:t>
            </w:r>
            <w:r>
              <w:rPr>
                <w:szCs w:val="24"/>
              </w:rPr>
              <w:t xml:space="preserve"> day of age</w:t>
            </w:r>
          </w:p>
        </w:tc>
        <w:tc>
          <w:tcPr>
            <w:tcW w:w="1701" w:type="dxa"/>
            <w:tcBorders>
              <w:top w:val="nil"/>
              <w:left w:val="nil"/>
              <w:right w:val="nil"/>
            </w:tcBorders>
          </w:tcPr>
          <w:p w14:paraId="197BDF5A">
            <w:pPr>
              <w:rPr>
                <w:szCs w:val="24"/>
              </w:rPr>
            </w:pPr>
            <w:r>
              <w:rPr>
                <w:szCs w:val="24"/>
              </w:rPr>
              <w:t>5ml/wk</w:t>
            </w:r>
          </w:p>
        </w:tc>
        <w:tc>
          <w:tcPr>
            <w:tcW w:w="992" w:type="dxa"/>
            <w:tcBorders>
              <w:top w:val="nil"/>
              <w:left w:val="nil"/>
              <w:right w:val="nil"/>
            </w:tcBorders>
          </w:tcPr>
          <w:p w14:paraId="6DD62535">
            <w:pPr>
              <w:rPr>
                <w:szCs w:val="24"/>
              </w:rPr>
            </w:pPr>
            <w:r>
              <w:rPr>
                <w:szCs w:val="24"/>
              </w:rPr>
              <w:t>Oral</w:t>
            </w:r>
          </w:p>
        </w:tc>
        <w:tc>
          <w:tcPr>
            <w:tcW w:w="1710" w:type="dxa"/>
            <w:tcBorders>
              <w:top w:val="nil"/>
              <w:left w:val="nil"/>
              <w:right w:val="nil"/>
            </w:tcBorders>
          </w:tcPr>
          <w:p w14:paraId="48B8E42B">
            <w:pPr>
              <w:rPr>
                <w:szCs w:val="24"/>
              </w:rPr>
            </w:pPr>
            <w:r>
              <w:rPr>
                <w:szCs w:val="24"/>
              </w:rPr>
              <w:t>a week post administer</w:t>
            </w:r>
          </w:p>
        </w:tc>
      </w:tr>
    </w:tbl>
    <w:p w14:paraId="2C7D01D5">
      <w:pPr>
        <w:spacing w:line="240" w:lineRule="auto"/>
        <w:rPr>
          <w:szCs w:val="24"/>
        </w:rPr>
      </w:pPr>
      <w:r>
        <w:rPr>
          <w:szCs w:val="24"/>
        </w:rPr>
        <w:t>Key: d=day                                    wk=week                     NCTH= Newcastle thermostable</w:t>
      </w:r>
    </w:p>
    <w:p w14:paraId="50C889B8">
      <w:pPr>
        <w:spacing w:line="240" w:lineRule="auto"/>
      </w:pPr>
      <w:bookmarkStart w:id="62" w:name="_Toc168390154"/>
      <w:bookmarkStart w:id="63" w:name="_Toc168523139"/>
    </w:p>
    <w:p w14:paraId="2657E031">
      <w:pPr>
        <w:pStyle w:val="3"/>
        <w:spacing w:before="0" w:after="0"/>
      </w:pPr>
      <w:bookmarkStart w:id="64" w:name="_Toc170937975"/>
      <w:r>
        <w:t>3.9. Statistical Analysis</w:t>
      </w:r>
      <w:bookmarkEnd w:id="62"/>
      <w:bookmarkEnd w:id="63"/>
      <w:bookmarkEnd w:id="64"/>
    </w:p>
    <w:p w14:paraId="61776116">
      <w:pPr>
        <w:spacing w:line="240" w:lineRule="auto"/>
      </w:pPr>
    </w:p>
    <w:p w14:paraId="199B53D5">
      <w:pPr>
        <w:rPr>
          <w:lang w:val="en-GB"/>
        </w:rPr>
      </w:pPr>
      <w:r>
        <w:rPr>
          <w:lang w:val="en-GB"/>
        </w:rPr>
        <w:t>The data collected w</w:t>
      </w:r>
      <w:r>
        <w:t xml:space="preserve">as </w:t>
      </w:r>
      <w:r>
        <w:rPr>
          <w:lang w:val="en-GB"/>
        </w:rPr>
        <w:t>stored in a spreadsheet program (excel) and were analysed using R statistical software version 4.2. Repetitive measure linear regressions was used to compare the humoral and cellular mediated response of vaccinated, parasite infected and honey fed chickens challenged with virulent NDV in experimental groups.</w:t>
      </w:r>
    </w:p>
    <w:p w14:paraId="01C287C5">
      <w:pPr>
        <w:spacing w:line="240" w:lineRule="auto"/>
      </w:pPr>
    </w:p>
    <w:p w14:paraId="3795C05F">
      <w:pPr>
        <w:pStyle w:val="3"/>
        <w:spacing w:before="0" w:after="0"/>
      </w:pPr>
      <w:bookmarkStart w:id="65" w:name="_Toc168390155"/>
      <w:bookmarkStart w:id="66" w:name="_Toc168523140"/>
      <w:bookmarkStart w:id="67" w:name="_Toc170937976"/>
      <w:r>
        <w:t>3.10. Ethical Clearance</w:t>
      </w:r>
      <w:bookmarkEnd w:id="65"/>
      <w:bookmarkEnd w:id="66"/>
      <w:bookmarkEnd w:id="67"/>
    </w:p>
    <w:p w14:paraId="189EB740">
      <w:pPr>
        <w:spacing w:line="240" w:lineRule="auto"/>
      </w:pPr>
    </w:p>
    <w:p w14:paraId="0F49B2D7">
      <w:pPr>
        <w:pStyle w:val="44"/>
        <w:spacing w:line="360" w:lineRule="auto"/>
        <w:jc w:val="both"/>
        <w:rPr>
          <w:rFonts w:ascii="Times New Roman" w:hAnsi="Times New Roman" w:cs="Times New Roman"/>
          <w:sz w:val="24"/>
          <w:szCs w:val="24"/>
        </w:rPr>
      </w:pPr>
      <w:r>
        <w:rPr>
          <w:rFonts w:ascii="Times New Roman" w:hAnsi="Times New Roman" w:cs="Times New Roman"/>
          <w:sz w:val="24"/>
          <w:szCs w:val="24"/>
        </w:rPr>
        <w:t>Ethical clearance for this research was obtained from Addis Ababa University College of Veterinary Medicine and Agriculture Animal Research Ethical Review Committee (Certificate Ref. No:VM/ERC/04/27/16/2024) and NVI Ethical Review Committee (Certificate Ref. No: NVI/2067) (Annex: 8). All animal work was conducted according to animal research ethics.</w:t>
      </w:r>
    </w:p>
    <w:p w14:paraId="37BC8782">
      <w:pPr>
        <w:pStyle w:val="44"/>
        <w:rPr>
          <w:rFonts w:ascii="Times New Roman" w:hAnsi="Times New Roman" w:cs="Times New Roman"/>
          <w:sz w:val="24"/>
          <w:szCs w:val="24"/>
        </w:rPr>
      </w:pPr>
    </w:p>
    <w:p w14:paraId="18A346BC">
      <w:pPr>
        <w:pStyle w:val="2"/>
        <w:sectPr>
          <w:pgSz w:w="12240" w:h="15840"/>
          <w:pgMar w:top="1440" w:right="1440" w:bottom="1440" w:left="2160" w:header="720" w:footer="720" w:gutter="0"/>
          <w:cols w:space="720" w:num="1"/>
          <w:docGrid w:linePitch="360" w:charSpace="0"/>
        </w:sectPr>
      </w:pPr>
    </w:p>
    <w:p w14:paraId="5BAB5770">
      <w:pPr>
        <w:pStyle w:val="2"/>
      </w:pPr>
      <w:bookmarkStart w:id="68" w:name="_Toc168390157"/>
      <w:bookmarkStart w:id="69" w:name="_Toc168523141"/>
      <w:bookmarkStart w:id="70" w:name="_Toc170937977"/>
      <w:r>
        <w:t>4. RESULTS</w:t>
      </w:r>
      <w:bookmarkEnd w:id="68"/>
      <w:bookmarkEnd w:id="69"/>
      <w:bookmarkEnd w:id="70"/>
    </w:p>
    <w:p w14:paraId="2AFA2CD1">
      <w:pPr>
        <w:spacing w:line="240" w:lineRule="auto"/>
      </w:pPr>
    </w:p>
    <w:p w14:paraId="00974E0A">
      <w:pPr>
        <w:spacing w:line="240" w:lineRule="auto"/>
      </w:pPr>
    </w:p>
    <w:p w14:paraId="2AF62E80">
      <w:pPr>
        <w:pStyle w:val="3"/>
        <w:spacing w:before="0" w:after="0"/>
      </w:pPr>
      <w:bookmarkStart w:id="71" w:name="_Toc170937978"/>
      <w:bookmarkStart w:id="72" w:name="_Toc168390158"/>
      <w:bookmarkStart w:id="73" w:name="_Toc168523142"/>
      <w:r>
        <w:t>4.1. Humoral Immune Response</w:t>
      </w:r>
      <w:bookmarkEnd w:id="71"/>
      <w:bookmarkEnd w:id="72"/>
      <w:bookmarkEnd w:id="73"/>
    </w:p>
    <w:p w14:paraId="12C788DA">
      <w:pPr>
        <w:spacing w:line="240" w:lineRule="auto"/>
      </w:pPr>
    </w:p>
    <w:p w14:paraId="39B4874A">
      <w:r>
        <w:t>In order to measure the humoral response of the experimental chickens to the vaccination, serum samples were collected during the experimental period and analyzed for NDV-specific IgY antibodies by HI. At the beginning of the experiment (day 0 screening test), most of the chickens were antibody negative and after vaccinations continue their antibody increased mainly from group 1 to group 6 (P&lt;0.05) compared to control group. These groups were vaccinated and honey also fed for two groups (G5 and G6). All vaccinated birds developed NDV-specific antibodies in serum as a response to the vaccination (both vaccines and the honey).After three weeks of vaccination their antibody titer is highly increased in all vaccinated groups. The antibody titers in parasite infected only chickens were lower than the vaccinated groups. The mean for the vaccinated groups, honey fed and the controls were obtained from the HI antibody titers at log2. Honey fed only groups and parasite infected only groups responded poorly as compared to other vaccinated groups and had a significantly lower antibody titer than others after postchallenge.</w:t>
      </w:r>
    </w:p>
    <w:p w14:paraId="7AE950C8">
      <w:pPr>
        <w:spacing w:line="240" w:lineRule="auto"/>
      </w:pPr>
    </w:p>
    <w:p w14:paraId="53EEDEF4">
      <w:pPr>
        <w:pStyle w:val="4"/>
        <w:spacing w:before="0" w:after="0"/>
      </w:pPr>
      <w:bookmarkStart w:id="74" w:name="_Toc168523143"/>
      <w:bookmarkStart w:id="75" w:name="_Toc168390159"/>
      <w:bookmarkStart w:id="76" w:name="_Toc170937979"/>
      <w:r>
        <w:t>4.1.1. Haemagglutination inhibition assay</w:t>
      </w:r>
      <w:bookmarkEnd w:id="74"/>
      <w:bookmarkEnd w:id="75"/>
      <w:bookmarkEnd w:id="76"/>
    </w:p>
    <w:p w14:paraId="093265BD">
      <w:pPr>
        <w:spacing w:line="240" w:lineRule="auto"/>
      </w:pPr>
    </w:p>
    <w:p w14:paraId="075BF7FD">
      <w:r>
        <w:t xml:space="preserve">At 7, 14, 21, 28, 35, and 49 days of experimental periods, the mean HI titers obtained for day-old commercial layer chickens in all vaccinated and non-vaccinated controls are displayed in (table 5). Positive HI titers for NDV were found in all vaccinated groups G1 to G6. The titers increased over the duration of the immunization course, consistently showing higher titers than the control group (group 9) on all tested days. In which the mean HI titers of G1, G2, G3, G4, G5 and G6 (vaccinated groups) at day 7 ranged from 5.8 to 209.5, and on the day following the challenge, the range was determined to be 104.7 to 197.8 antibody titer, which were significantly highest mean antibody titer recorded in these vaccinated groups compared to the rest groups (unvaccinated groups). However, at 7 and 49 days old, the mean HI titer ranges for G7, parasite-infected chickens, were 8.4 to 64. The mean antibody titer of G8, or the honey-fed alone group was ranges from 6.2 to 64. </w:t>
      </w:r>
    </w:p>
    <w:p w14:paraId="7FD14211">
      <w:pPr>
        <w:spacing w:line="240" w:lineRule="auto"/>
      </w:pPr>
      <w:r>
        <w:t xml:space="preserve">  </w:t>
      </w:r>
      <w:bookmarkStart w:id="77" w:name="_Toc168574020"/>
      <w:r>
        <w:rPr>
          <w:szCs w:val="24"/>
        </w:rPr>
        <w:t xml:space="preserve">Table </w:t>
      </w:r>
      <w:r>
        <w:rPr>
          <w:szCs w:val="24"/>
        </w:rPr>
        <w:fldChar w:fldCharType="begin"/>
      </w:r>
      <w:r>
        <w:rPr>
          <w:szCs w:val="24"/>
        </w:rPr>
        <w:instrText xml:space="preserve"> SEQ Table \* ARABIC </w:instrText>
      </w:r>
      <w:r>
        <w:rPr>
          <w:szCs w:val="24"/>
        </w:rPr>
        <w:fldChar w:fldCharType="separate"/>
      </w:r>
      <w:r>
        <w:rPr>
          <w:szCs w:val="24"/>
        </w:rPr>
        <w:t>5</w:t>
      </w:r>
      <w:r>
        <w:rPr>
          <w:szCs w:val="24"/>
        </w:rPr>
        <w:fldChar w:fldCharType="end"/>
      </w:r>
      <w:r>
        <w:rPr>
          <w:b/>
          <w:szCs w:val="24"/>
        </w:rPr>
        <w:t>: Mean HI titer for each group at each date of sampling</w:t>
      </w:r>
      <w:bookmarkEnd w:id="77"/>
    </w:p>
    <w:tbl>
      <w:tblPr>
        <w:tblStyle w:val="8"/>
        <w:tblW w:w="9073" w:type="dxa"/>
        <w:tblInd w:w="-34" w:type="dxa"/>
        <w:tblLayout w:type="fixed"/>
        <w:tblCellMar>
          <w:top w:w="0" w:type="dxa"/>
          <w:left w:w="108" w:type="dxa"/>
          <w:bottom w:w="0" w:type="dxa"/>
          <w:right w:w="108" w:type="dxa"/>
        </w:tblCellMar>
      </w:tblPr>
      <w:tblGrid>
        <w:gridCol w:w="568"/>
        <w:gridCol w:w="1275"/>
        <w:gridCol w:w="909"/>
        <w:gridCol w:w="1076"/>
        <w:gridCol w:w="814"/>
        <w:gridCol w:w="1204"/>
        <w:gridCol w:w="992"/>
        <w:gridCol w:w="851"/>
        <w:gridCol w:w="675"/>
        <w:gridCol w:w="709"/>
      </w:tblGrid>
      <w:tr w14:paraId="65797417">
        <w:tblPrEx>
          <w:tblCellMar>
            <w:top w:w="0" w:type="dxa"/>
            <w:left w:w="108" w:type="dxa"/>
            <w:bottom w:w="0" w:type="dxa"/>
            <w:right w:w="108" w:type="dxa"/>
          </w:tblCellMar>
        </w:tblPrEx>
        <w:trPr>
          <w:trHeight w:val="955" w:hRule="atLeast"/>
        </w:trPr>
        <w:tc>
          <w:tcPr>
            <w:tcW w:w="568" w:type="dxa"/>
            <w:tcBorders>
              <w:left w:val="nil"/>
              <w:bottom w:val="single" w:color="auto" w:sz="4" w:space="0"/>
              <w:right w:val="nil"/>
            </w:tcBorders>
          </w:tcPr>
          <w:p w14:paraId="703AE98C">
            <w:pPr>
              <w:spacing w:line="240" w:lineRule="auto"/>
              <w:rPr>
                <w:rFonts w:cs="Times New Roman"/>
                <w:b/>
                <w:sz w:val="20"/>
                <w:szCs w:val="20"/>
              </w:rPr>
            </w:pPr>
            <w:r>
              <w:rPr>
                <w:rFonts w:cs="Times New Roman"/>
                <w:b/>
                <w:sz w:val="20"/>
                <w:szCs w:val="20"/>
              </w:rPr>
              <w:t>Days</w:t>
            </w:r>
          </w:p>
        </w:tc>
        <w:tc>
          <w:tcPr>
            <w:tcW w:w="1275" w:type="dxa"/>
            <w:tcBorders>
              <w:left w:val="nil"/>
              <w:bottom w:val="single" w:color="auto" w:sz="4" w:space="0"/>
              <w:right w:val="nil"/>
            </w:tcBorders>
          </w:tcPr>
          <w:p w14:paraId="0855F132">
            <w:pPr>
              <w:spacing w:line="240" w:lineRule="auto"/>
              <w:rPr>
                <w:rFonts w:cs="Times New Roman"/>
                <w:b/>
                <w:sz w:val="20"/>
                <w:szCs w:val="20"/>
              </w:rPr>
            </w:pPr>
            <w:r>
              <w:rPr>
                <w:rFonts w:cs="Times New Roman"/>
                <w:b/>
                <w:sz w:val="20"/>
                <w:szCs w:val="20"/>
              </w:rPr>
              <w:t>HB1/Lasota</w:t>
            </w:r>
          </w:p>
          <w:p w14:paraId="16A90FE3">
            <w:pPr>
              <w:spacing w:line="240" w:lineRule="auto"/>
              <w:rPr>
                <w:rFonts w:cs="Times New Roman"/>
                <w:b/>
                <w:sz w:val="20"/>
                <w:szCs w:val="20"/>
              </w:rPr>
            </w:pPr>
            <w:r>
              <w:rPr>
                <w:rFonts w:cs="Times New Roman"/>
                <w:b/>
                <w:sz w:val="20"/>
                <w:szCs w:val="20"/>
              </w:rPr>
              <w:t xml:space="preserve">with </w:t>
            </w:r>
            <w:r>
              <w:rPr>
                <w:rFonts w:cs="Times New Roman"/>
                <w:b/>
                <w:i/>
                <w:sz w:val="20"/>
                <w:szCs w:val="20"/>
              </w:rPr>
              <w:t>A.galli</w:t>
            </w:r>
          </w:p>
          <w:p w14:paraId="0FED7A24">
            <w:pPr>
              <w:spacing w:line="240" w:lineRule="auto"/>
              <w:rPr>
                <w:rFonts w:cs="Times New Roman"/>
                <w:b/>
                <w:sz w:val="20"/>
                <w:szCs w:val="20"/>
              </w:rPr>
            </w:pPr>
            <w:r>
              <w:rPr>
                <w:rFonts w:cs="Times New Roman"/>
                <w:b/>
                <w:sz w:val="20"/>
                <w:szCs w:val="20"/>
              </w:rPr>
              <w:t>(G1)</w:t>
            </w:r>
          </w:p>
        </w:tc>
        <w:tc>
          <w:tcPr>
            <w:tcW w:w="909" w:type="dxa"/>
            <w:tcBorders>
              <w:left w:val="nil"/>
              <w:bottom w:val="single" w:color="auto" w:sz="4" w:space="0"/>
              <w:right w:val="nil"/>
            </w:tcBorders>
          </w:tcPr>
          <w:p w14:paraId="364C1542">
            <w:pPr>
              <w:spacing w:line="240" w:lineRule="auto"/>
              <w:rPr>
                <w:rFonts w:cs="Times New Roman"/>
                <w:b/>
                <w:sz w:val="20"/>
                <w:szCs w:val="20"/>
              </w:rPr>
            </w:pPr>
            <w:r>
              <w:rPr>
                <w:rFonts w:cs="Times New Roman"/>
                <w:b/>
                <w:sz w:val="20"/>
                <w:szCs w:val="20"/>
              </w:rPr>
              <w:t>HB1/Lasota(G2)</w:t>
            </w:r>
          </w:p>
        </w:tc>
        <w:tc>
          <w:tcPr>
            <w:tcW w:w="1076" w:type="dxa"/>
            <w:tcBorders>
              <w:left w:val="nil"/>
              <w:bottom w:val="single" w:color="auto" w:sz="4" w:space="0"/>
              <w:right w:val="nil"/>
            </w:tcBorders>
          </w:tcPr>
          <w:p w14:paraId="684A6C2A">
            <w:pPr>
              <w:spacing w:line="240" w:lineRule="auto"/>
              <w:jc w:val="left"/>
              <w:rPr>
                <w:rFonts w:cs="Times New Roman"/>
                <w:b/>
                <w:sz w:val="20"/>
                <w:szCs w:val="20"/>
              </w:rPr>
            </w:pPr>
            <w:r>
              <w:rPr>
                <w:rFonts w:cs="Times New Roman"/>
                <w:b/>
                <w:sz w:val="20"/>
                <w:szCs w:val="20"/>
              </w:rPr>
              <w:t xml:space="preserve">NCTH with </w:t>
            </w:r>
            <w:r>
              <w:rPr>
                <w:rFonts w:cs="Times New Roman"/>
                <w:b/>
                <w:i/>
                <w:sz w:val="20"/>
                <w:szCs w:val="20"/>
              </w:rPr>
              <w:t>A.galli</w:t>
            </w:r>
            <w:r>
              <w:rPr>
                <w:rFonts w:cs="Times New Roman"/>
                <w:b/>
                <w:sz w:val="20"/>
                <w:szCs w:val="20"/>
              </w:rPr>
              <w:t>(G3)</w:t>
            </w:r>
          </w:p>
        </w:tc>
        <w:tc>
          <w:tcPr>
            <w:tcW w:w="814" w:type="dxa"/>
            <w:tcBorders>
              <w:left w:val="nil"/>
              <w:bottom w:val="single" w:color="auto" w:sz="4" w:space="0"/>
              <w:right w:val="nil"/>
            </w:tcBorders>
          </w:tcPr>
          <w:p w14:paraId="6D5BB099">
            <w:pPr>
              <w:spacing w:line="240" w:lineRule="auto"/>
              <w:rPr>
                <w:rFonts w:cs="Times New Roman"/>
                <w:b/>
                <w:sz w:val="20"/>
                <w:szCs w:val="20"/>
              </w:rPr>
            </w:pPr>
            <w:r>
              <w:rPr>
                <w:rFonts w:cs="Times New Roman"/>
                <w:b/>
                <w:sz w:val="20"/>
                <w:szCs w:val="20"/>
              </w:rPr>
              <w:t>NCTH(G4)</w:t>
            </w:r>
          </w:p>
        </w:tc>
        <w:tc>
          <w:tcPr>
            <w:tcW w:w="1204" w:type="dxa"/>
            <w:tcBorders>
              <w:left w:val="nil"/>
              <w:bottom w:val="single" w:color="auto" w:sz="4" w:space="0"/>
              <w:right w:val="nil"/>
            </w:tcBorders>
          </w:tcPr>
          <w:p w14:paraId="6E2A11FD">
            <w:pPr>
              <w:spacing w:line="240" w:lineRule="auto"/>
              <w:rPr>
                <w:rFonts w:cs="Times New Roman"/>
                <w:b/>
                <w:sz w:val="20"/>
                <w:szCs w:val="20"/>
              </w:rPr>
            </w:pPr>
            <w:r>
              <w:rPr>
                <w:rFonts w:cs="Times New Roman"/>
                <w:b/>
                <w:sz w:val="20"/>
                <w:szCs w:val="20"/>
              </w:rPr>
              <w:t>HB1/Lasota with honey(G5)</w:t>
            </w:r>
          </w:p>
        </w:tc>
        <w:tc>
          <w:tcPr>
            <w:tcW w:w="992" w:type="dxa"/>
            <w:tcBorders>
              <w:left w:val="nil"/>
              <w:bottom w:val="single" w:color="auto" w:sz="4" w:space="0"/>
              <w:right w:val="nil"/>
            </w:tcBorders>
          </w:tcPr>
          <w:p w14:paraId="64E9D6BE">
            <w:pPr>
              <w:spacing w:line="240" w:lineRule="auto"/>
              <w:rPr>
                <w:rFonts w:cs="Times New Roman"/>
                <w:b/>
                <w:sz w:val="20"/>
                <w:szCs w:val="20"/>
              </w:rPr>
            </w:pPr>
            <w:r>
              <w:rPr>
                <w:rFonts w:cs="Times New Roman"/>
                <w:b/>
                <w:sz w:val="20"/>
                <w:szCs w:val="20"/>
              </w:rPr>
              <w:t>NCTH with Honey</w:t>
            </w:r>
          </w:p>
          <w:p w14:paraId="6F3AF52D">
            <w:pPr>
              <w:spacing w:line="240" w:lineRule="auto"/>
              <w:rPr>
                <w:rFonts w:cs="Times New Roman"/>
                <w:b/>
                <w:sz w:val="20"/>
                <w:szCs w:val="20"/>
              </w:rPr>
            </w:pPr>
            <w:r>
              <w:rPr>
                <w:rFonts w:cs="Times New Roman"/>
                <w:b/>
                <w:sz w:val="20"/>
                <w:szCs w:val="20"/>
              </w:rPr>
              <w:t>(G6)</w:t>
            </w:r>
          </w:p>
        </w:tc>
        <w:tc>
          <w:tcPr>
            <w:tcW w:w="851" w:type="dxa"/>
            <w:tcBorders>
              <w:left w:val="nil"/>
              <w:bottom w:val="single" w:color="auto" w:sz="4" w:space="0"/>
              <w:right w:val="nil"/>
            </w:tcBorders>
          </w:tcPr>
          <w:p w14:paraId="6856FA18">
            <w:pPr>
              <w:spacing w:line="240" w:lineRule="auto"/>
              <w:rPr>
                <w:rFonts w:cs="Times New Roman"/>
                <w:b/>
                <w:sz w:val="20"/>
                <w:szCs w:val="20"/>
              </w:rPr>
            </w:pPr>
            <w:r>
              <w:rPr>
                <w:rFonts w:cs="Times New Roman"/>
                <w:b/>
                <w:sz w:val="20"/>
                <w:szCs w:val="20"/>
              </w:rPr>
              <w:t>A.galli</w:t>
            </w:r>
          </w:p>
          <w:p w14:paraId="4E67BB32">
            <w:pPr>
              <w:spacing w:line="240" w:lineRule="auto"/>
              <w:rPr>
                <w:rFonts w:cs="Times New Roman"/>
                <w:b/>
                <w:sz w:val="20"/>
                <w:szCs w:val="20"/>
              </w:rPr>
            </w:pPr>
            <w:r>
              <w:rPr>
                <w:rFonts w:cs="Times New Roman"/>
                <w:b/>
                <w:sz w:val="20"/>
                <w:szCs w:val="20"/>
              </w:rPr>
              <w:t>(G7)</w:t>
            </w:r>
          </w:p>
        </w:tc>
        <w:tc>
          <w:tcPr>
            <w:tcW w:w="675" w:type="dxa"/>
            <w:tcBorders>
              <w:left w:val="nil"/>
              <w:bottom w:val="single" w:color="auto" w:sz="4" w:space="0"/>
              <w:right w:val="nil"/>
            </w:tcBorders>
          </w:tcPr>
          <w:p w14:paraId="14AB398D">
            <w:pPr>
              <w:spacing w:line="240" w:lineRule="auto"/>
              <w:rPr>
                <w:rFonts w:cs="Times New Roman"/>
                <w:b/>
                <w:sz w:val="20"/>
                <w:szCs w:val="20"/>
              </w:rPr>
            </w:pPr>
            <w:r>
              <w:rPr>
                <w:rFonts w:cs="Times New Roman"/>
                <w:b/>
                <w:sz w:val="20"/>
                <w:szCs w:val="20"/>
              </w:rPr>
              <w:t>Honey(G8)</w:t>
            </w:r>
          </w:p>
        </w:tc>
        <w:tc>
          <w:tcPr>
            <w:tcW w:w="709" w:type="dxa"/>
            <w:tcBorders>
              <w:left w:val="nil"/>
              <w:bottom w:val="single" w:color="auto" w:sz="4" w:space="0"/>
              <w:right w:val="nil"/>
            </w:tcBorders>
          </w:tcPr>
          <w:p w14:paraId="3F63D5CB">
            <w:pPr>
              <w:spacing w:line="240" w:lineRule="auto"/>
              <w:rPr>
                <w:rFonts w:cs="Times New Roman"/>
                <w:b/>
                <w:sz w:val="20"/>
                <w:szCs w:val="20"/>
              </w:rPr>
            </w:pPr>
            <w:r>
              <w:rPr>
                <w:rFonts w:cs="Times New Roman"/>
                <w:b/>
                <w:sz w:val="20"/>
                <w:szCs w:val="20"/>
              </w:rPr>
              <w:t>Control(G9)</w:t>
            </w:r>
          </w:p>
        </w:tc>
      </w:tr>
      <w:tr w14:paraId="125FFD41">
        <w:tblPrEx>
          <w:tblCellMar>
            <w:top w:w="0" w:type="dxa"/>
            <w:left w:w="108" w:type="dxa"/>
            <w:bottom w:w="0" w:type="dxa"/>
            <w:right w:w="108" w:type="dxa"/>
          </w:tblCellMar>
        </w:tblPrEx>
        <w:tc>
          <w:tcPr>
            <w:tcW w:w="568" w:type="dxa"/>
            <w:tcBorders>
              <w:left w:val="nil"/>
              <w:bottom w:val="nil"/>
              <w:right w:val="nil"/>
            </w:tcBorders>
          </w:tcPr>
          <w:p w14:paraId="47AE4209">
            <w:pPr>
              <w:rPr>
                <w:rFonts w:cs="Times New Roman"/>
                <w:szCs w:val="24"/>
              </w:rPr>
            </w:pPr>
            <w:r>
              <w:rPr>
                <w:rFonts w:cs="Times New Roman"/>
                <w:szCs w:val="24"/>
              </w:rPr>
              <w:t>7</w:t>
            </w:r>
          </w:p>
        </w:tc>
        <w:tc>
          <w:tcPr>
            <w:tcW w:w="1275" w:type="dxa"/>
            <w:tcBorders>
              <w:left w:val="nil"/>
              <w:bottom w:val="nil"/>
              <w:right w:val="nil"/>
            </w:tcBorders>
          </w:tcPr>
          <w:p w14:paraId="168FCADC">
            <w:pPr>
              <w:rPr>
                <w:rFonts w:cs="Times New Roman"/>
                <w:color w:val="000000"/>
                <w:szCs w:val="24"/>
              </w:rPr>
            </w:pPr>
            <w:r>
              <w:rPr>
                <w:rFonts w:cs="Times New Roman"/>
                <w:color w:val="000000"/>
                <w:szCs w:val="24"/>
              </w:rPr>
              <w:t>5.8</w:t>
            </w:r>
          </w:p>
        </w:tc>
        <w:tc>
          <w:tcPr>
            <w:tcW w:w="909" w:type="dxa"/>
            <w:tcBorders>
              <w:left w:val="nil"/>
              <w:bottom w:val="nil"/>
              <w:right w:val="nil"/>
            </w:tcBorders>
          </w:tcPr>
          <w:p w14:paraId="3F5FDB8B">
            <w:pPr>
              <w:rPr>
                <w:rFonts w:cs="Times New Roman"/>
                <w:color w:val="000000"/>
                <w:szCs w:val="24"/>
              </w:rPr>
            </w:pPr>
            <w:r>
              <w:rPr>
                <w:rFonts w:cs="Times New Roman"/>
                <w:color w:val="000000"/>
                <w:szCs w:val="24"/>
              </w:rPr>
              <w:t>8</w:t>
            </w:r>
          </w:p>
        </w:tc>
        <w:tc>
          <w:tcPr>
            <w:tcW w:w="1076" w:type="dxa"/>
            <w:tcBorders>
              <w:left w:val="nil"/>
              <w:bottom w:val="nil"/>
              <w:right w:val="nil"/>
            </w:tcBorders>
          </w:tcPr>
          <w:p w14:paraId="2047EE38">
            <w:pPr>
              <w:rPr>
                <w:rFonts w:cs="Times New Roman"/>
                <w:color w:val="000000"/>
                <w:szCs w:val="24"/>
              </w:rPr>
            </w:pPr>
            <w:r>
              <w:rPr>
                <w:rFonts w:cs="Times New Roman"/>
                <w:color w:val="000000"/>
                <w:szCs w:val="24"/>
              </w:rPr>
              <w:t>8.4</w:t>
            </w:r>
          </w:p>
        </w:tc>
        <w:tc>
          <w:tcPr>
            <w:tcW w:w="814" w:type="dxa"/>
            <w:tcBorders>
              <w:left w:val="nil"/>
              <w:bottom w:val="nil"/>
              <w:right w:val="nil"/>
            </w:tcBorders>
          </w:tcPr>
          <w:p w14:paraId="34F57E39">
            <w:pPr>
              <w:rPr>
                <w:rFonts w:cs="Times New Roman"/>
                <w:color w:val="000000"/>
                <w:szCs w:val="24"/>
              </w:rPr>
            </w:pPr>
            <w:r>
              <w:rPr>
                <w:rFonts w:cs="Times New Roman"/>
                <w:color w:val="000000"/>
                <w:szCs w:val="24"/>
              </w:rPr>
              <w:t>12.4</w:t>
            </w:r>
          </w:p>
        </w:tc>
        <w:tc>
          <w:tcPr>
            <w:tcW w:w="1204" w:type="dxa"/>
            <w:tcBorders>
              <w:left w:val="nil"/>
              <w:bottom w:val="nil"/>
              <w:right w:val="nil"/>
            </w:tcBorders>
          </w:tcPr>
          <w:p w14:paraId="0ED4F7FF">
            <w:pPr>
              <w:rPr>
                <w:rFonts w:cs="Times New Roman"/>
                <w:color w:val="000000"/>
                <w:szCs w:val="24"/>
              </w:rPr>
            </w:pPr>
            <w:r>
              <w:rPr>
                <w:rFonts w:cs="Times New Roman"/>
                <w:color w:val="000000"/>
                <w:szCs w:val="24"/>
              </w:rPr>
              <w:t>11.6</w:t>
            </w:r>
          </w:p>
        </w:tc>
        <w:tc>
          <w:tcPr>
            <w:tcW w:w="992" w:type="dxa"/>
            <w:tcBorders>
              <w:left w:val="nil"/>
              <w:bottom w:val="nil"/>
              <w:right w:val="nil"/>
            </w:tcBorders>
          </w:tcPr>
          <w:p w14:paraId="61605C3A">
            <w:pPr>
              <w:rPr>
                <w:rFonts w:cs="Times New Roman"/>
                <w:color w:val="000000"/>
                <w:szCs w:val="24"/>
              </w:rPr>
            </w:pPr>
            <w:r>
              <w:rPr>
                <w:rFonts w:cs="Times New Roman"/>
                <w:color w:val="000000"/>
                <w:szCs w:val="24"/>
              </w:rPr>
              <w:t>9.6</w:t>
            </w:r>
          </w:p>
        </w:tc>
        <w:tc>
          <w:tcPr>
            <w:tcW w:w="851" w:type="dxa"/>
            <w:tcBorders>
              <w:left w:val="nil"/>
              <w:bottom w:val="nil"/>
              <w:right w:val="nil"/>
            </w:tcBorders>
          </w:tcPr>
          <w:p w14:paraId="4C7610CD">
            <w:pPr>
              <w:rPr>
                <w:rFonts w:cs="Times New Roman"/>
                <w:color w:val="000000"/>
                <w:szCs w:val="24"/>
              </w:rPr>
            </w:pPr>
            <w:r>
              <w:rPr>
                <w:rFonts w:cs="Times New Roman"/>
                <w:color w:val="000000"/>
                <w:szCs w:val="24"/>
              </w:rPr>
              <w:t>8.4</w:t>
            </w:r>
          </w:p>
        </w:tc>
        <w:tc>
          <w:tcPr>
            <w:tcW w:w="675" w:type="dxa"/>
            <w:tcBorders>
              <w:left w:val="nil"/>
              <w:bottom w:val="nil"/>
              <w:right w:val="nil"/>
            </w:tcBorders>
          </w:tcPr>
          <w:p w14:paraId="685D1160">
            <w:pPr>
              <w:rPr>
                <w:rFonts w:cs="Times New Roman"/>
                <w:color w:val="000000"/>
                <w:szCs w:val="24"/>
              </w:rPr>
            </w:pPr>
            <w:r>
              <w:rPr>
                <w:rFonts w:cs="Times New Roman"/>
                <w:color w:val="000000"/>
                <w:szCs w:val="24"/>
              </w:rPr>
              <w:t>6. 2</w:t>
            </w:r>
          </w:p>
        </w:tc>
        <w:tc>
          <w:tcPr>
            <w:tcW w:w="709" w:type="dxa"/>
            <w:tcBorders>
              <w:left w:val="nil"/>
              <w:bottom w:val="nil"/>
              <w:right w:val="nil"/>
            </w:tcBorders>
          </w:tcPr>
          <w:p w14:paraId="6CDB5943">
            <w:pPr>
              <w:rPr>
                <w:rFonts w:cs="Times New Roman"/>
                <w:color w:val="000000"/>
                <w:szCs w:val="24"/>
              </w:rPr>
            </w:pPr>
            <w:r>
              <w:rPr>
                <w:rFonts w:cs="Times New Roman"/>
                <w:color w:val="000000"/>
                <w:szCs w:val="24"/>
              </w:rPr>
              <w:t>4</w:t>
            </w:r>
          </w:p>
        </w:tc>
      </w:tr>
      <w:tr w14:paraId="1730A580">
        <w:tblPrEx>
          <w:tblCellMar>
            <w:top w:w="0" w:type="dxa"/>
            <w:left w:w="108" w:type="dxa"/>
            <w:bottom w:w="0" w:type="dxa"/>
            <w:right w:w="108" w:type="dxa"/>
          </w:tblCellMar>
        </w:tblPrEx>
        <w:tc>
          <w:tcPr>
            <w:tcW w:w="568" w:type="dxa"/>
            <w:tcBorders>
              <w:top w:val="nil"/>
              <w:left w:val="nil"/>
              <w:bottom w:val="nil"/>
              <w:right w:val="nil"/>
            </w:tcBorders>
          </w:tcPr>
          <w:p w14:paraId="21492C35">
            <w:pPr>
              <w:rPr>
                <w:rFonts w:cs="Times New Roman"/>
                <w:szCs w:val="24"/>
              </w:rPr>
            </w:pPr>
            <w:r>
              <w:rPr>
                <w:rFonts w:cs="Times New Roman"/>
                <w:szCs w:val="24"/>
              </w:rPr>
              <w:t>14</w:t>
            </w:r>
          </w:p>
        </w:tc>
        <w:tc>
          <w:tcPr>
            <w:tcW w:w="1275" w:type="dxa"/>
            <w:tcBorders>
              <w:top w:val="nil"/>
              <w:left w:val="nil"/>
              <w:bottom w:val="nil"/>
              <w:right w:val="nil"/>
            </w:tcBorders>
          </w:tcPr>
          <w:p w14:paraId="2E3FBC6C">
            <w:pPr>
              <w:rPr>
                <w:rFonts w:cs="Times New Roman"/>
                <w:color w:val="000000"/>
                <w:szCs w:val="24"/>
              </w:rPr>
            </w:pPr>
            <w:r>
              <w:rPr>
                <w:rFonts w:cs="Times New Roman"/>
                <w:color w:val="000000"/>
                <w:szCs w:val="24"/>
              </w:rPr>
              <w:t>64</w:t>
            </w:r>
          </w:p>
        </w:tc>
        <w:tc>
          <w:tcPr>
            <w:tcW w:w="909" w:type="dxa"/>
            <w:tcBorders>
              <w:top w:val="nil"/>
              <w:left w:val="nil"/>
              <w:bottom w:val="nil"/>
              <w:right w:val="nil"/>
            </w:tcBorders>
          </w:tcPr>
          <w:p w14:paraId="2F9A43B1">
            <w:pPr>
              <w:rPr>
                <w:rFonts w:cs="Times New Roman"/>
                <w:color w:val="000000"/>
                <w:szCs w:val="24"/>
              </w:rPr>
            </w:pPr>
            <w:r>
              <w:rPr>
                <w:rFonts w:cs="Times New Roman"/>
                <w:color w:val="000000"/>
                <w:szCs w:val="24"/>
              </w:rPr>
              <w:t>49.5</w:t>
            </w:r>
          </w:p>
        </w:tc>
        <w:tc>
          <w:tcPr>
            <w:tcW w:w="1076" w:type="dxa"/>
            <w:tcBorders>
              <w:top w:val="nil"/>
              <w:left w:val="nil"/>
              <w:bottom w:val="nil"/>
              <w:right w:val="nil"/>
            </w:tcBorders>
          </w:tcPr>
          <w:p w14:paraId="4835F53F">
            <w:pPr>
              <w:rPr>
                <w:rFonts w:cs="Times New Roman"/>
                <w:color w:val="000000"/>
                <w:szCs w:val="24"/>
              </w:rPr>
            </w:pPr>
            <w:r>
              <w:rPr>
                <w:rFonts w:cs="Times New Roman"/>
                <w:color w:val="000000"/>
                <w:szCs w:val="24"/>
              </w:rPr>
              <w:t>23.3</w:t>
            </w:r>
          </w:p>
        </w:tc>
        <w:tc>
          <w:tcPr>
            <w:tcW w:w="814" w:type="dxa"/>
            <w:tcBorders>
              <w:top w:val="nil"/>
              <w:left w:val="nil"/>
              <w:bottom w:val="nil"/>
              <w:right w:val="nil"/>
            </w:tcBorders>
          </w:tcPr>
          <w:p w14:paraId="6EAE827B">
            <w:pPr>
              <w:rPr>
                <w:rFonts w:cs="Times New Roman"/>
                <w:color w:val="000000"/>
                <w:szCs w:val="24"/>
              </w:rPr>
            </w:pPr>
            <w:r>
              <w:rPr>
                <w:rFonts w:cs="Times New Roman"/>
                <w:color w:val="000000"/>
                <w:szCs w:val="24"/>
              </w:rPr>
              <w:t>64</w:t>
            </w:r>
          </w:p>
        </w:tc>
        <w:tc>
          <w:tcPr>
            <w:tcW w:w="1204" w:type="dxa"/>
            <w:tcBorders>
              <w:top w:val="nil"/>
              <w:left w:val="nil"/>
              <w:bottom w:val="nil"/>
              <w:right w:val="nil"/>
            </w:tcBorders>
          </w:tcPr>
          <w:p w14:paraId="1AEAB462">
            <w:pPr>
              <w:rPr>
                <w:rFonts w:cs="Times New Roman"/>
                <w:color w:val="000000"/>
                <w:szCs w:val="24"/>
              </w:rPr>
            </w:pPr>
            <w:r>
              <w:rPr>
                <w:rFonts w:cs="Times New Roman"/>
                <w:color w:val="000000"/>
                <w:szCs w:val="24"/>
              </w:rPr>
              <w:t>49.5</w:t>
            </w:r>
          </w:p>
        </w:tc>
        <w:tc>
          <w:tcPr>
            <w:tcW w:w="992" w:type="dxa"/>
            <w:tcBorders>
              <w:top w:val="nil"/>
              <w:left w:val="nil"/>
              <w:bottom w:val="nil"/>
              <w:right w:val="nil"/>
            </w:tcBorders>
          </w:tcPr>
          <w:p w14:paraId="1AD8188B">
            <w:pPr>
              <w:rPr>
                <w:rFonts w:cs="Times New Roman"/>
                <w:color w:val="000000"/>
                <w:szCs w:val="24"/>
              </w:rPr>
            </w:pPr>
            <w:r>
              <w:rPr>
                <w:rFonts w:cs="Times New Roman"/>
                <w:color w:val="000000"/>
                <w:szCs w:val="24"/>
              </w:rPr>
              <w:t>42.2</w:t>
            </w:r>
          </w:p>
        </w:tc>
        <w:tc>
          <w:tcPr>
            <w:tcW w:w="851" w:type="dxa"/>
            <w:tcBorders>
              <w:top w:val="nil"/>
              <w:left w:val="nil"/>
              <w:bottom w:val="nil"/>
              <w:right w:val="nil"/>
            </w:tcBorders>
          </w:tcPr>
          <w:p w14:paraId="462AFE40">
            <w:pPr>
              <w:rPr>
                <w:rFonts w:cs="Times New Roman"/>
                <w:color w:val="000000"/>
                <w:szCs w:val="24"/>
              </w:rPr>
            </w:pPr>
            <w:r>
              <w:rPr>
                <w:rFonts w:cs="Times New Roman"/>
                <w:color w:val="000000"/>
                <w:szCs w:val="24"/>
              </w:rPr>
              <w:t>10.9</w:t>
            </w:r>
          </w:p>
        </w:tc>
        <w:tc>
          <w:tcPr>
            <w:tcW w:w="675" w:type="dxa"/>
            <w:tcBorders>
              <w:top w:val="nil"/>
              <w:left w:val="nil"/>
              <w:bottom w:val="nil"/>
              <w:right w:val="nil"/>
            </w:tcBorders>
          </w:tcPr>
          <w:p w14:paraId="69FFBF7B">
            <w:pPr>
              <w:rPr>
                <w:rFonts w:cs="Times New Roman"/>
                <w:color w:val="000000"/>
                <w:szCs w:val="24"/>
              </w:rPr>
            </w:pPr>
            <w:r>
              <w:rPr>
                <w:rFonts w:cs="Times New Roman"/>
                <w:color w:val="000000"/>
                <w:szCs w:val="24"/>
              </w:rPr>
              <w:t>13.8</w:t>
            </w:r>
          </w:p>
        </w:tc>
        <w:tc>
          <w:tcPr>
            <w:tcW w:w="709" w:type="dxa"/>
            <w:tcBorders>
              <w:top w:val="nil"/>
              <w:left w:val="nil"/>
              <w:bottom w:val="nil"/>
              <w:right w:val="nil"/>
            </w:tcBorders>
          </w:tcPr>
          <w:p w14:paraId="7A03F859">
            <w:pPr>
              <w:rPr>
                <w:rFonts w:cs="Times New Roman"/>
                <w:color w:val="000000"/>
                <w:szCs w:val="24"/>
              </w:rPr>
            </w:pPr>
            <w:r>
              <w:rPr>
                <w:rFonts w:cs="Times New Roman"/>
                <w:color w:val="000000"/>
                <w:szCs w:val="24"/>
              </w:rPr>
              <w:t>12.4</w:t>
            </w:r>
          </w:p>
        </w:tc>
      </w:tr>
      <w:tr w14:paraId="2EE58EFE">
        <w:tblPrEx>
          <w:tblCellMar>
            <w:top w:w="0" w:type="dxa"/>
            <w:left w:w="108" w:type="dxa"/>
            <w:bottom w:w="0" w:type="dxa"/>
            <w:right w:w="108" w:type="dxa"/>
          </w:tblCellMar>
        </w:tblPrEx>
        <w:tc>
          <w:tcPr>
            <w:tcW w:w="568" w:type="dxa"/>
            <w:tcBorders>
              <w:top w:val="nil"/>
              <w:left w:val="nil"/>
              <w:bottom w:val="nil"/>
              <w:right w:val="nil"/>
            </w:tcBorders>
          </w:tcPr>
          <w:p w14:paraId="0194983C">
            <w:pPr>
              <w:rPr>
                <w:rFonts w:cs="Times New Roman"/>
                <w:szCs w:val="24"/>
              </w:rPr>
            </w:pPr>
            <w:r>
              <w:rPr>
                <w:rFonts w:cs="Times New Roman"/>
                <w:szCs w:val="24"/>
              </w:rPr>
              <w:t>21</w:t>
            </w:r>
          </w:p>
        </w:tc>
        <w:tc>
          <w:tcPr>
            <w:tcW w:w="1275" w:type="dxa"/>
            <w:tcBorders>
              <w:top w:val="nil"/>
              <w:left w:val="nil"/>
              <w:bottom w:val="nil"/>
              <w:right w:val="nil"/>
            </w:tcBorders>
          </w:tcPr>
          <w:p w14:paraId="5881BD8C">
            <w:pPr>
              <w:rPr>
                <w:rFonts w:cs="Times New Roman"/>
                <w:color w:val="000000"/>
                <w:szCs w:val="24"/>
              </w:rPr>
            </w:pPr>
            <w:r>
              <w:rPr>
                <w:rFonts w:cs="Times New Roman"/>
                <w:color w:val="000000"/>
                <w:szCs w:val="24"/>
              </w:rPr>
              <w:t>186.2</w:t>
            </w:r>
          </w:p>
        </w:tc>
        <w:tc>
          <w:tcPr>
            <w:tcW w:w="909" w:type="dxa"/>
            <w:tcBorders>
              <w:top w:val="nil"/>
              <w:left w:val="nil"/>
              <w:bottom w:val="nil"/>
              <w:right w:val="nil"/>
            </w:tcBorders>
          </w:tcPr>
          <w:p w14:paraId="1D70CA16">
            <w:pPr>
              <w:rPr>
                <w:rFonts w:cs="Times New Roman"/>
                <w:color w:val="000000"/>
                <w:szCs w:val="24"/>
              </w:rPr>
            </w:pPr>
            <w:r>
              <w:rPr>
                <w:rFonts w:cs="Times New Roman"/>
                <w:color w:val="000000"/>
                <w:szCs w:val="24"/>
              </w:rPr>
              <w:t>197.8</w:t>
            </w:r>
          </w:p>
        </w:tc>
        <w:tc>
          <w:tcPr>
            <w:tcW w:w="1076" w:type="dxa"/>
            <w:tcBorders>
              <w:top w:val="nil"/>
              <w:left w:val="nil"/>
              <w:bottom w:val="nil"/>
              <w:right w:val="nil"/>
            </w:tcBorders>
          </w:tcPr>
          <w:p w14:paraId="60C930A1">
            <w:pPr>
              <w:rPr>
                <w:rFonts w:cs="Times New Roman"/>
                <w:color w:val="000000"/>
                <w:szCs w:val="24"/>
              </w:rPr>
            </w:pPr>
            <w:r>
              <w:rPr>
                <w:rFonts w:cs="Times New Roman"/>
                <w:color w:val="000000"/>
                <w:szCs w:val="24"/>
              </w:rPr>
              <w:t>174.5</w:t>
            </w:r>
          </w:p>
        </w:tc>
        <w:tc>
          <w:tcPr>
            <w:tcW w:w="814" w:type="dxa"/>
            <w:tcBorders>
              <w:top w:val="nil"/>
              <w:left w:val="nil"/>
              <w:bottom w:val="nil"/>
              <w:right w:val="nil"/>
            </w:tcBorders>
          </w:tcPr>
          <w:p w14:paraId="0DFB2618">
            <w:pPr>
              <w:rPr>
                <w:rFonts w:cs="Times New Roman"/>
                <w:color w:val="000000"/>
                <w:szCs w:val="24"/>
              </w:rPr>
            </w:pPr>
            <w:r>
              <w:rPr>
                <w:rFonts w:cs="Times New Roman"/>
                <w:color w:val="000000"/>
                <w:szCs w:val="24"/>
              </w:rPr>
              <w:t>174.5</w:t>
            </w:r>
          </w:p>
        </w:tc>
        <w:tc>
          <w:tcPr>
            <w:tcW w:w="1204" w:type="dxa"/>
            <w:tcBorders>
              <w:top w:val="nil"/>
              <w:left w:val="nil"/>
              <w:bottom w:val="nil"/>
              <w:right w:val="nil"/>
            </w:tcBorders>
          </w:tcPr>
          <w:p w14:paraId="5010BF3D">
            <w:pPr>
              <w:rPr>
                <w:rFonts w:cs="Times New Roman"/>
                <w:color w:val="000000"/>
                <w:szCs w:val="24"/>
              </w:rPr>
            </w:pPr>
            <w:r>
              <w:rPr>
                <w:rFonts w:cs="Times New Roman"/>
                <w:color w:val="000000"/>
                <w:szCs w:val="24"/>
              </w:rPr>
              <w:t>52.4</w:t>
            </w:r>
          </w:p>
        </w:tc>
        <w:tc>
          <w:tcPr>
            <w:tcW w:w="992" w:type="dxa"/>
            <w:tcBorders>
              <w:top w:val="nil"/>
              <w:left w:val="nil"/>
              <w:bottom w:val="nil"/>
              <w:right w:val="nil"/>
            </w:tcBorders>
          </w:tcPr>
          <w:p w14:paraId="55904D52">
            <w:pPr>
              <w:rPr>
                <w:rFonts w:cs="Times New Roman"/>
                <w:color w:val="000000"/>
                <w:szCs w:val="24"/>
              </w:rPr>
            </w:pPr>
            <w:r>
              <w:rPr>
                <w:rFonts w:cs="Times New Roman"/>
                <w:color w:val="000000"/>
                <w:szCs w:val="24"/>
              </w:rPr>
              <w:t>66.9</w:t>
            </w:r>
          </w:p>
        </w:tc>
        <w:tc>
          <w:tcPr>
            <w:tcW w:w="851" w:type="dxa"/>
            <w:tcBorders>
              <w:top w:val="nil"/>
              <w:left w:val="nil"/>
              <w:bottom w:val="nil"/>
              <w:right w:val="nil"/>
            </w:tcBorders>
          </w:tcPr>
          <w:p w14:paraId="0E3D4EFC">
            <w:pPr>
              <w:rPr>
                <w:rFonts w:cs="Times New Roman"/>
                <w:color w:val="000000"/>
                <w:szCs w:val="24"/>
              </w:rPr>
            </w:pPr>
            <w:r>
              <w:rPr>
                <w:rFonts w:cs="Times New Roman"/>
                <w:color w:val="000000"/>
                <w:szCs w:val="24"/>
              </w:rPr>
              <w:t>32</w:t>
            </w:r>
          </w:p>
        </w:tc>
        <w:tc>
          <w:tcPr>
            <w:tcW w:w="675" w:type="dxa"/>
            <w:tcBorders>
              <w:top w:val="nil"/>
              <w:left w:val="nil"/>
              <w:bottom w:val="nil"/>
              <w:right w:val="nil"/>
            </w:tcBorders>
          </w:tcPr>
          <w:p w14:paraId="5F6DE9B8">
            <w:pPr>
              <w:rPr>
                <w:rFonts w:cs="Times New Roman"/>
                <w:color w:val="000000"/>
                <w:szCs w:val="24"/>
              </w:rPr>
            </w:pPr>
            <w:r>
              <w:rPr>
                <w:rFonts w:cs="Times New Roman"/>
                <w:color w:val="000000"/>
                <w:szCs w:val="24"/>
              </w:rPr>
              <w:t>64</w:t>
            </w:r>
          </w:p>
        </w:tc>
        <w:tc>
          <w:tcPr>
            <w:tcW w:w="709" w:type="dxa"/>
            <w:tcBorders>
              <w:top w:val="nil"/>
              <w:left w:val="nil"/>
              <w:bottom w:val="nil"/>
              <w:right w:val="nil"/>
            </w:tcBorders>
          </w:tcPr>
          <w:p w14:paraId="7B935ED1">
            <w:pPr>
              <w:rPr>
                <w:rFonts w:cs="Times New Roman"/>
                <w:color w:val="000000"/>
                <w:szCs w:val="24"/>
              </w:rPr>
            </w:pPr>
            <w:r>
              <w:rPr>
                <w:rFonts w:cs="Times New Roman"/>
                <w:color w:val="000000"/>
                <w:szCs w:val="24"/>
              </w:rPr>
              <w:t>43.6</w:t>
            </w:r>
          </w:p>
        </w:tc>
      </w:tr>
      <w:tr w14:paraId="24672CFF">
        <w:tblPrEx>
          <w:tblCellMar>
            <w:top w:w="0" w:type="dxa"/>
            <w:left w:w="108" w:type="dxa"/>
            <w:bottom w:w="0" w:type="dxa"/>
            <w:right w:w="108" w:type="dxa"/>
          </w:tblCellMar>
        </w:tblPrEx>
        <w:tc>
          <w:tcPr>
            <w:tcW w:w="568" w:type="dxa"/>
            <w:tcBorders>
              <w:top w:val="nil"/>
              <w:left w:val="nil"/>
              <w:bottom w:val="nil"/>
              <w:right w:val="nil"/>
            </w:tcBorders>
          </w:tcPr>
          <w:p w14:paraId="28EEA297">
            <w:pPr>
              <w:rPr>
                <w:rFonts w:cs="Times New Roman"/>
                <w:szCs w:val="24"/>
              </w:rPr>
            </w:pPr>
            <w:r>
              <w:rPr>
                <w:rFonts w:cs="Times New Roman"/>
                <w:szCs w:val="24"/>
              </w:rPr>
              <w:t>28</w:t>
            </w:r>
          </w:p>
        </w:tc>
        <w:tc>
          <w:tcPr>
            <w:tcW w:w="1275" w:type="dxa"/>
            <w:tcBorders>
              <w:top w:val="nil"/>
              <w:left w:val="nil"/>
              <w:bottom w:val="nil"/>
              <w:right w:val="nil"/>
            </w:tcBorders>
          </w:tcPr>
          <w:p w14:paraId="1DD2ABDD">
            <w:pPr>
              <w:rPr>
                <w:rFonts w:cs="Times New Roman"/>
                <w:color w:val="000000"/>
                <w:szCs w:val="24"/>
              </w:rPr>
            </w:pPr>
            <w:r>
              <w:rPr>
                <w:rFonts w:cs="Times New Roman"/>
                <w:color w:val="000000"/>
                <w:szCs w:val="24"/>
              </w:rPr>
              <w:t>128</w:t>
            </w:r>
          </w:p>
        </w:tc>
        <w:tc>
          <w:tcPr>
            <w:tcW w:w="909" w:type="dxa"/>
            <w:tcBorders>
              <w:top w:val="nil"/>
              <w:left w:val="nil"/>
              <w:bottom w:val="nil"/>
              <w:right w:val="nil"/>
            </w:tcBorders>
          </w:tcPr>
          <w:p w14:paraId="370A9328">
            <w:pPr>
              <w:rPr>
                <w:rFonts w:cs="Times New Roman"/>
                <w:color w:val="000000"/>
                <w:szCs w:val="24"/>
              </w:rPr>
            </w:pPr>
            <w:r>
              <w:rPr>
                <w:rFonts w:cs="Times New Roman"/>
                <w:color w:val="000000"/>
                <w:szCs w:val="24"/>
              </w:rPr>
              <w:t>98.9</w:t>
            </w:r>
          </w:p>
        </w:tc>
        <w:tc>
          <w:tcPr>
            <w:tcW w:w="1076" w:type="dxa"/>
            <w:tcBorders>
              <w:top w:val="nil"/>
              <w:left w:val="nil"/>
              <w:bottom w:val="nil"/>
              <w:right w:val="nil"/>
            </w:tcBorders>
          </w:tcPr>
          <w:p w14:paraId="1F925609">
            <w:pPr>
              <w:rPr>
                <w:rFonts w:cs="Times New Roman"/>
                <w:color w:val="000000"/>
                <w:szCs w:val="24"/>
              </w:rPr>
            </w:pPr>
            <w:r>
              <w:rPr>
                <w:rFonts w:cs="Times New Roman"/>
                <w:color w:val="000000"/>
                <w:szCs w:val="24"/>
              </w:rPr>
              <w:t>49.5</w:t>
            </w:r>
          </w:p>
        </w:tc>
        <w:tc>
          <w:tcPr>
            <w:tcW w:w="814" w:type="dxa"/>
            <w:tcBorders>
              <w:top w:val="nil"/>
              <w:left w:val="nil"/>
              <w:bottom w:val="nil"/>
              <w:right w:val="nil"/>
            </w:tcBorders>
          </w:tcPr>
          <w:p w14:paraId="43EBAD77">
            <w:pPr>
              <w:rPr>
                <w:rFonts w:cs="Times New Roman"/>
                <w:color w:val="000000"/>
                <w:szCs w:val="24"/>
              </w:rPr>
            </w:pPr>
            <w:r>
              <w:rPr>
                <w:rFonts w:cs="Times New Roman"/>
                <w:color w:val="000000"/>
                <w:szCs w:val="24"/>
              </w:rPr>
              <w:t>42.2</w:t>
            </w:r>
          </w:p>
        </w:tc>
        <w:tc>
          <w:tcPr>
            <w:tcW w:w="1204" w:type="dxa"/>
            <w:tcBorders>
              <w:top w:val="nil"/>
              <w:left w:val="nil"/>
              <w:bottom w:val="nil"/>
              <w:right w:val="nil"/>
            </w:tcBorders>
          </w:tcPr>
          <w:p w14:paraId="61087492">
            <w:pPr>
              <w:rPr>
                <w:rFonts w:cs="Times New Roman"/>
                <w:szCs w:val="24"/>
              </w:rPr>
            </w:pPr>
            <w:r>
              <w:rPr>
                <w:rFonts w:cs="Times New Roman"/>
                <w:color w:val="000000"/>
                <w:szCs w:val="24"/>
              </w:rPr>
              <w:t>52.4</w:t>
            </w:r>
          </w:p>
        </w:tc>
        <w:tc>
          <w:tcPr>
            <w:tcW w:w="992" w:type="dxa"/>
            <w:tcBorders>
              <w:top w:val="nil"/>
              <w:left w:val="nil"/>
              <w:bottom w:val="nil"/>
              <w:right w:val="nil"/>
            </w:tcBorders>
          </w:tcPr>
          <w:p w14:paraId="0F96AAC3">
            <w:pPr>
              <w:rPr>
                <w:rFonts w:cs="Times New Roman"/>
                <w:color w:val="000000"/>
                <w:szCs w:val="24"/>
              </w:rPr>
            </w:pPr>
            <w:r>
              <w:rPr>
                <w:rFonts w:cs="Times New Roman"/>
                <w:color w:val="000000"/>
                <w:szCs w:val="24"/>
              </w:rPr>
              <w:t>32</w:t>
            </w:r>
          </w:p>
        </w:tc>
        <w:tc>
          <w:tcPr>
            <w:tcW w:w="851" w:type="dxa"/>
            <w:tcBorders>
              <w:top w:val="nil"/>
              <w:left w:val="nil"/>
              <w:bottom w:val="nil"/>
              <w:right w:val="nil"/>
            </w:tcBorders>
          </w:tcPr>
          <w:p w14:paraId="0802CE8B">
            <w:pPr>
              <w:rPr>
                <w:rFonts w:cs="Times New Roman"/>
                <w:color w:val="000000"/>
                <w:szCs w:val="24"/>
              </w:rPr>
            </w:pPr>
            <w:r>
              <w:rPr>
                <w:rFonts w:cs="Times New Roman"/>
                <w:color w:val="000000"/>
                <w:szCs w:val="24"/>
              </w:rPr>
              <w:t>23.3</w:t>
            </w:r>
          </w:p>
        </w:tc>
        <w:tc>
          <w:tcPr>
            <w:tcW w:w="675" w:type="dxa"/>
            <w:tcBorders>
              <w:top w:val="nil"/>
              <w:left w:val="nil"/>
              <w:bottom w:val="nil"/>
              <w:right w:val="nil"/>
            </w:tcBorders>
          </w:tcPr>
          <w:p w14:paraId="482B0C61">
            <w:pPr>
              <w:rPr>
                <w:rFonts w:cs="Times New Roman"/>
                <w:color w:val="000000"/>
                <w:szCs w:val="24"/>
              </w:rPr>
            </w:pPr>
            <w:r>
              <w:rPr>
                <w:rFonts w:cs="Times New Roman"/>
                <w:color w:val="000000"/>
                <w:szCs w:val="24"/>
              </w:rPr>
              <w:t>16</w:t>
            </w:r>
          </w:p>
        </w:tc>
        <w:tc>
          <w:tcPr>
            <w:tcW w:w="709" w:type="dxa"/>
            <w:tcBorders>
              <w:top w:val="nil"/>
              <w:left w:val="nil"/>
              <w:bottom w:val="nil"/>
              <w:right w:val="nil"/>
            </w:tcBorders>
          </w:tcPr>
          <w:p w14:paraId="5E4BB12B">
            <w:pPr>
              <w:rPr>
                <w:rFonts w:cs="Times New Roman"/>
                <w:color w:val="000000"/>
                <w:szCs w:val="24"/>
              </w:rPr>
            </w:pPr>
            <w:r>
              <w:rPr>
                <w:rFonts w:cs="Times New Roman"/>
                <w:color w:val="000000"/>
                <w:szCs w:val="24"/>
              </w:rPr>
              <w:t>16</w:t>
            </w:r>
          </w:p>
        </w:tc>
      </w:tr>
      <w:tr w14:paraId="45C9BE92">
        <w:tblPrEx>
          <w:tblCellMar>
            <w:top w:w="0" w:type="dxa"/>
            <w:left w:w="108" w:type="dxa"/>
            <w:bottom w:w="0" w:type="dxa"/>
            <w:right w:w="108" w:type="dxa"/>
          </w:tblCellMar>
        </w:tblPrEx>
        <w:tc>
          <w:tcPr>
            <w:tcW w:w="568" w:type="dxa"/>
            <w:tcBorders>
              <w:top w:val="nil"/>
              <w:left w:val="nil"/>
              <w:bottom w:val="nil"/>
              <w:right w:val="nil"/>
            </w:tcBorders>
          </w:tcPr>
          <w:p w14:paraId="610FF0AF">
            <w:pPr>
              <w:rPr>
                <w:rFonts w:cs="Times New Roman"/>
                <w:szCs w:val="24"/>
              </w:rPr>
            </w:pPr>
            <w:r>
              <w:rPr>
                <w:rFonts w:cs="Times New Roman"/>
                <w:szCs w:val="24"/>
              </w:rPr>
              <w:t>35</w:t>
            </w:r>
          </w:p>
        </w:tc>
        <w:tc>
          <w:tcPr>
            <w:tcW w:w="1275" w:type="dxa"/>
            <w:tcBorders>
              <w:top w:val="nil"/>
              <w:left w:val="nil"/>
              <w:bottom w:val="nil"/>
              <w:right w:val="nil"/>
            </w:tcBorders>
          </w:tcPr>
          <w:p w14:paraId="38705CC8">
            <w:pPr>
              <w:rPr>
                <w:rFonts w:cs="Times New Roman"/>
                <w:color w:val="000000"/>
                <w:szCs w:val="24"/>
              </w:rPr>
            </w:pPr>
            <w:r>
              <w:rPr>
                <w:rFonts w:cs="Times New Roman"/>
                <w:color w:val="000000"/>
                <w:szCs w:val="24"/>
              </w:rPr>
              <w:t>186.2</w:t>
            </w:r>
          </w:p>
        </w:tc>
        <w:tc>
          <w:tcPr>
            <w:tcW w:w="909" w:type="dxa"/>
            <w:tcBorders>
              <w:top w:val="nil"/>
              <w:left w:val="nil"/>
              <w:bottom w:val="nil"/>
              <w:right w:val="nil"/>
            </w:tcBorders>
          </w:tcPr>
          <w:p w14:paraId="014099BD">
            <w:pPr>
              <w:rPr>
                <w:rFonts w:cs="Times New Roman"/>
                <w:color w:val="000000"/>
                <w:szCs w:val="24"/>
              </w:rPr>
            </w:pPr>
            <w:r>
              <w:rPr>
                <w:rFonts w:cs="Times New Roman"/>
                <w:color w:val="000000"/>
                <w:szCs w:val="24"/>
              </w:rPr>
              <w:t>128</w:t>
            </w:r>
          </w:p>
        </w:tc>
        <w:tc>
          <w:tcPr>
            <w:tcW w:w="1076" w:type="dxa"/>
            <w:tcBorders>
              <w:top w:val="nil"/>
              <w:left w:val="nil"/>
              <w:bottom w:val="nil"/>
              <w:right w:val="nil"/>
            </w:tcBorders>
          </w:tcPr>
          <w:p w14:paraId="1D212DB9">
            <w:pPr>
              <w:rPr>
                <w:rFonts w:cs="Times New Roman"/>
                <w:color w:val="000000"/>
                <w:szCs w:val="24"/>
              </w:rPr>
            </w:pPr>
            <w:r>
              <w:rPr>
                <w:rFonts w:cs="Times New Roman"/>
                <w:color w:val="000000"/>
                <w:szCs w:val="24"/>
              </w:rPr>
              <w:t>128</w:t>
            </w:r>
          </w:p>
        </w:tc>
        <w:tc>
          <w:tcPr>
            <w:tcW w:w="814" w:type="dxa"/>
            <w:tcBorders>
              <w:top w:val="nil"/>
              <w:left w:val="nil"/>
              <w:bottom w:val="nil"/>
              <w:right w:val="nil"/>
            </w:tcBorders>
          </w:tcPr>
          <w:p w14:paraId="25D225CF">
            <w:pPr>
              <w:rPr>
                <w:rFonts w:cs="Times New Roman"/>
                <w:color w:val="000000"/>
                <w:szCs w:val="24"/>
              </w:rPr>
            </w:pPr>
            <w:r>
              <w:rPr>
                <w:rFonts w:cs="Times New Roman"/>
                <w:color w:val="000000"/>
                <w:szCs w:val="24"/>
              </w:rPr>
              <w:t>186.2</w:t>
            </w:r>
          </w:p>
        </w:tc>
        <w:tc>
          <w:tcPr>
            <w:tcW w:w="1204" w:type="dxa"/>
            <w:tcBorders>
              <w:top w:val="nil"/>
              <w:left w:val="nil"/>
              <w:bottom w:val="nil"/>
              <w:right w:val="nil"/>
            </w:tcBorders>
          </w:tcPr>
          <w:p w14:paraId="7E6DC86B">
            <w:pPr>
              <w:rPr>
                <w:rFonts w:cs="Times New Roman"/>
                <w:color w:val="000000"/>
                <w:szCs w:val="24"/>
              </w:rPr>
            </w:pPr>
            <w:r>
              <w:rPr>
                <w:rFonts w:cs="Times New Roman"/>
                <w:color w:val="000000"/>
                <w:szCs w:val="24"/>
              </w:rPr>
              <w:t>209.5</w:t>
            </w:r>
          </w:p>
        </w:tc>
        <w:tc>
          <w:tcPr>
            <w:tcW w:w="992" w:type="dxa"/>
            <w:tcBorders>
              <w:top w:val="nil"/>
              <w:left w:val="nil"/>
              <w:bottom w:val="nil"/>
              <w:right w:val="nil"/>
            </w:tcBorders>
          </w:tcPr>
          <w:p w14:paraId="0CA5FD26">
            <w:pPr>
              <w:rPr>
                <w:rFonts w:cs="Times New Roman"/>
                <w:color w:val="000000"/>
                <w:szCs w:val="24"/>
              </w:rPr>
            </w:pPr>
            <w:r>
              <w:rPr>
                <w:rFonts w:cs="Times New Roman"/>
                <w:color w:val="000000"/>
                <w:szCs w:val="24"/>
              </w:rPr>
              <w:t>98.9</w:t>
            </w:r>
          </w:p>
        </w:tc>
        <w:tc>
          <w:tcPr>
            <w:tcW w:w="851" w:type="dxa"/>
            <w:tcBorders>
              <w:top w:val="nil"/>
              <w:left w:val="nil"/>
              <w:bottom w:val="nil"/>
              <w:right w:val="nil"/>
            </w:tcBorders>
          </w:tcPr>
          <w:p w14:paraId="727FF358">
            <w:pPr>
              <w:rPr>
                <w:rFonts w:cs="Times New Roman"/>
                <w:color w:val="000000"/>
                <w:szCs w:val="24"/>
              </w:rPr>
            </w:pPr>
            <w:r>
              <w:rPr>
                <w:rFonts w:cs="Times New Roman"/>
                <w:color w:val="000000"/>
                <w:szCs w:val="24"/>
              </w:rPr>
              <w:t>64</w:t>
            </w:r>
          </w:p>
        </w:tc>
        <w:tc>
          <w:tcPr>
            <w:tcW w:w="675" w:type="dxa"/>
            <w:tcBorders>
              <w:top w:val="nil"/>
              <w:left w:val="nil"/>
              <w:bottom w:val="nil"/>
              <w:right w:val="nil"/>
            </w:tcBorders>
          </w:tcPr>
          <w:p w14:paraId="24EFE9D5">
            <w:pPr>
              <w:rPr>
                <w:rFonts w:cs="Times New Roman"/>
                <w:color w:val="000000"/>
                <w:szCs w:val="24"/>
              </w:rPr>
            </w:pPr>
            <w:r>
              <w:rPr>
                <w:rFonts w:cs="Times New Roman"/>
                <w:color w:val="000000"/>
                <w:szCs w:val="24"/>
              </w:rPr>
              <w:t>32</w:t>
            </w:r>
          </w:p>
        </w:tc>
        <w:tc>
          <w:tcPr>
            <w:tcW w:w="709" w:type="dxa"/>
            <w:tcBorders>
              <w:top w:val="nil"/>
              <w:left w:val="nil"/>
              <w:bottom w:val="nil"/>
              <w:right w:val="nil"/>
            </w:tcBorders>
          </w:tcPr>
          <w:p w14:paraId="229A952E">
            <w:pPr>
              <w:rPr>
                <w:rFonts w:cs="Times New Roman"/>
                <w:color w:val="000000"/>
                <w:szCs w:val="24"/>
              </w:rPr>
            </w:pPr>
            <w:r>
              <w:rPr>
                <w:rFonts w:cs="Times New Roman"/>
                <w:color w:val="000000"/>
                <w:szCs w:val="24"/>
              </w:rPr>
              <w:t>32</w:t>
            </w:r>
          </w:p>
        </w:tc>
      </w:tr>
      <w:tr w14:paraId="3E35C8FB">
        <w:tblPrEx>
          <w:tblCellMar>
            <w:top w:w="0" w:type="dxa"/>
            <w:left w:w="108" w:type="dxa"/>
            <w:bottom w:w="0" w:type="dxa"/>
            <w:right w:w="108" w:type="dxa"/>
          </w:tblCellMar>
        </w:tblPrEx>
        <w:tc>
          <w:tcPr>
            <w:tcW w:w="568" w:type="dxa"/>
            <w:tcBorders>
              <w:top w:val="nil"/>
              <w:left w:val="nil"/>
              <w:right w:val="nil"/>
            </w:tcBorders>
          </w:tcPr>
          <w:p w14:paraId="07BE1AC4">
            <w:pPr>
              <w:rPr>
                <w:rFonts w:cs="Times New Roman"/>
                <w:szCs w:val="24"/>
              </w:rPr>
            </w:pPr>
            <w:r>
              <w:rPr>
                <w:rFonts w:cs="Times New Roman"/>
                <w:szCs w:val="24"/>
              </w:rPr>
              <w:t>49</w:t>
            </w:r>
          </w:p>
        </w:tc>
        <w:tc>
          <w:tcPr>
            <w:tcW w:w="1275" w:type="dxa"/>
            <w:tcBorders>
              <w:top w:val="nil"/>
              <w:left w:val="nil"/>
              <w:right w:val="nil"/>
            </w:tcBorders>
          </w:tcPr>
          <w:p w14:paraId="1CD1B075">
            <w:pPr>
              <w:rPr>
                <w:rFonts w:cs="Times New Roman"/>
                <w:color w:val="000000"/>
                <w:szCs w:val="24"/>
              </w:rPr>
            </w:pPr>
            <w:r>
              <w:rPr>
                <w:rFonts w:cs="Times New Roman"/>
                <w:color w:val="000000"/>
                <w:szCs w:val="24"/>
              </w:rPr>
              <w:t>110.5</w:t>
            </w:r>
          </w:p>
        </w:tc>
        <w:tc>
          <w:tcPr>
            <w:tcW w:w="909" w:type="dxa"/>
            <w:tcBorders>
              <w:top w:val="nil"/>
              <w:left w:val="nil"/>
              <w:right w:val="nil"/>
            </w:tcBorders>
          </w:tcPr>
          <w:p w14:paraId="2D8A360F">
            <w:pPr>
              <w:rPr>
                <w:rFonts w:cs="Times New Roman"/>
                <w:color w:val="000000"/>
                <w:szCs w:val="24"/>
              </w:rPr>
            </w:pPr>
            <w:r>
              <w:rPr>
                <w:rFonts w:cs="Times New Roman"/>
                <w:color w:val="000000"/>
                <w:szCs w:val="24"/>
              </w:rPr>
              <w:t>145.5</w:t>
            </w:r>
          </w:p>
        </w:tc>
        <w:tc>
          <w:tcPr>
            <w:tcW w:w="1076" w:type="dxa"/>
            <w:tcBorders>
              <w:top w:val="nil"/>
              <w:left w:val="nil"/>
              <w:right w:val="nil"/>
            </w:tcBorders>
          </w:tcPr>
          <w:p w14:paraId="5907FBB8">
            <w:pPr>
              <w:rPr>
                <w:rFonts w:cs="Times New Roman"/>
                <w:color w:val="000000"/>
                <w:szCs w:val="24"/>
              </w:rPr>
            </w:pPr>
            <w:r>
              <w:rPr>
                <w:rFonts w:cs="Times New Roman"/>
                <w:color w:val="000000"/>
                <w:szCs w:val="24"/>
              </w:rPr>
              <w:t>162.9</w:t>
            </w:r>
          </w:p>
        </w:tc>
        <w:tc>
          <w:tcPr>
            <w:tcW w:w="814" w:type="dxa"/>
            <w:tcBorders>
              <w:top w:val="nil"/>
              <w:left w:val="nil"/>
              <w:right w:val="nil"/>
            </w:tcBorders>
          </w:tcPr>
          <w:p w14:paraId="137E4A13">
            <w:pPr>
              <w:rPr>
                <w:rFonts w:cs="Times New Roman"/>
                <w:color w:val="000000"/>
                <w:szCs w:val="24"/>
              </w:rPr>
            </w:pPr>
            <w:r>
              <w:rPr>
                <w:rFonts w:cs="Times New Roman"/>
                <w:color w:val="000000"/>
                <w:szCs w:val="24"/>
              </w:rPr>
              <w:t>197.8</w:t>
            </w:r>
          </w:p>
        </w:tc>
        <w:tc>
          <w:tcPr>
            <w:tcW w:w="1204" w:type="dxa"/>
            <w:tcBorders>
              <w:top w:val="nil"/>
              <w:left w:val="nil"/>
              <w:right w:val="nil"/>
            </w:tcBorders>
          </w:tcPr>
          <w:p w14:paraId="25FEBDED">
            <w:pPr>
              <w:rPr>
                <w:rFonts w:cs="Times New Roman"/>
                <w:color w:val="000000"/>
                <w:szCs w:val="24"/>
              </w:rPr>
            </w:pPr>
            <w:r>
              <w:rPr>
                <w:rFonts w:cs="Times New Roman"/>
                <w:color w:val="000000"/>
                <w:szCs w:val="24"/>
              </w:rPr>
              <w:t>168.7</w:t>
            </w:r>
          </w:p>
        </w:tc>
        <w:tc>
          <w:tcPr>
            <w:tcW w:w="992" w:type="dxa"/>
            <w:tcBorders>
              <w:top w:val="nil"/>
              <w:left w:val="nil"/>
              <w:right w:val="nil"/>
            </w:tcBorders>
          </w:tcPr>
          <w:p w14:paraId="52ABF382">
            <w:pPr>
              <w:rPr>
                <w:rFonts w:cs="Times New Roman"/>
                <w:color w:val="000000"/>
                <w:szCs w:val="24"/>
              </w:rPr>
            </w:pPr>
            <w:r>
              <w:rPr>
                <w:rFonts w:cs="Times New Roman"/>
                <w:color w:val="000000"/>
                <w:szCs w:val="24"/>
              </w:rPr>
              <w:t>104.7</w:t>
            </w:r>
          </w:p>
        </w:tc>
        <w:tc>
          <w:tcPr>
            <w:tcW w:w="851" w:type="dxa"/>
            <w:tcBorders>
              <w:top w:val="nil"/>
              <w:left w:val="nil"/>
              <w:right w:val="nil"/>
            </w:tcBorders>
          </w:tcPr>
          <w:p w14:paraId="28D99585">
            <w:pPr>
              <w:rPr>
                <w:rFonts w:cs="Times New Roman"/>
                <w:color w:val="000000"/>
                <w:szCs w:val="24"/>
              </w:rPr>
            </w:pPr>
            <w:r>
              <w:rPr>
                <w:rFonts w:cs="Times New Roman"/>
                <w:color w:val="000000"/>
                <w:szCs w:val="24"/>
              </w:rPr>
              <w:t>64</w:t>
            </w:r>
          </w:p>
        </w:tc>
        <w:tc>
          <w:tcPr>
            <w:tcW w:w="675" w:type="dxa"/>
            <w:tcBorders>
              <w:top w:val="nil"/>
              <w:left w:val="nil"/>
              <w:right w:val="nil"/>
            </w:tcBorders>
          </w:tcPr>
          <w:p w14:paraId="0C32149B">
            <w:pPr>
              <w:rPr>
                <w:rFonts w:cs="Times New Roman"/>
                <w:color w:val="000000"/>
                <w:szCs w:val="24"/>
              </w:rPr>
            </w:pPr>
            <w:r>
              <w:rPr>
                <w:rFonts w:cs="Times New Roman"/>
                <w:color w:val="000000"/>
                <w:szCs w:val="24"/>
              </w:rPr>
              <w:t>64</w:t>
            </w:r>
          </w:p>
        </w:tc>
        <w:tc>
          <w:tcPr>
            <w:tcW w:w="709" w:type="dxa"/>
            <w:tcBorders>
              <w:top w:val="nil"/>
              <w:left w:val="nil"/>
              <w:right w:val="nil"/>
            </w:tcBorders>
          </w:tcPr>
          <w:p w14:paraId="4788FA82">
            <w:pPr>
              <w:rPr>
                <w:rFonts w:cs="Times New Roman"/>
                <w:color w:val="000000"/>
                <w:szCs w:val="24"/>
              </w:rPr>
            </w:pPr>
            <w:r>
              <w:rPr>
                <w:rFonts w:cs="Times New Roman"/>
                <w:color w:val="000000"/>
                <w:szCs w:val="24"/>
              </w:rPr>
              <w:t>52.4</w:t>
            </w:r>
          </w:p>
        </w:tc>
      </w:tr>
    </w:tbl>
    <w:p w14:paraId="7750A784">
      <w:pPr>
        <w:spacing w:line="240" w:lineRule="auto"/>
      </w:pPr>
    </w:p>
    <w:p w14:paraId="1774937A">
      <w:pPr>
        <w:spacing w:line="240" w:lineRule="auto"/>
      </w:pPr>
    </w:p>
    <w:p w14:paraId="64732FBF">
      <w:pPr>
        <w:rPr>
          <w:color w:val="FF0000"/>
        </w:rPr>
      </w:pPr>
      <w:r>
        <w:drawing>
          <wp:inline distT="0" distB="0" distL="0" distR="0">
            <wp:extent cx="5531485" cy="3619500"/>
            <wp:effectExtent l="19050" t="0" r="1158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A03496A">
      <w:pPr>
        <w:pStyle w:val="10"/>
        <w:spacing w:after="0" w:line="360" w:lineRule="auto"/>
        <w:rPr>
          <w:b w:val="0"/>
          <w:color w:val="auto"/>
          <w:sz w:val="24"/>
          <w:szCs w:val="24"/>
        </w:rPr>
      </w:pPr>
      <w:bookmarkStart w:id="78" w:name="_Toc170950650"/>
      <w:bookmarkStart w:id="79" w:name="_Toc166845608"/>
      <w:r>
        <w:rPr>
          <w:color w:val="auto"/>
          <w:sz w:val="24"/>
          <w:szCs w:val="24"/>
        </w:rPr>
        <w:t xml:space="preserve">Figure </w:t>
      </w:r>
      <w:r>
        <w:rPr>
          <w:color w:val="auto"/>
          <w:sz w:val="24"/>
          <w:szCs w:val="24"/>
        </w:rPr>
        <w:fldChar w:fldCharType="begin"/>
      </w:r>
      <w:r>
        <w:rPr>
          <w:color w:val="auto"/>
          <w:sz w:val="24"/>
          <w:szCs w:val="24"/>
        </w:rPr>
        <w:instrText xml:space="preserve"> SEQ Figure \* ARABIC </w:instrText>
      </w:r>
      <w:r>
        <w:rPr>
          <w:color w:val="auto"/>
          <w:sz w:val="24"/>
          <w:szCs w:val="24"/>
        </w:rPr>
        <w:fldChar w:fldCharType="separate"/>
      </w:r>
      <w:r>
        <w:rPr>
          <w:color w:val="auto"/>
          <w:sz w:val="24"/>
          <w:szCs w:val="24"/>
        </w:rPr>
        <w:t>4</w:t>
      </w:r>
      <w:r>
        <w:rPr>
          <w:color w:val="auto"/>
          <w:sz w:val="24"/>
          <w:szCs w:val="24"/>
        </w:rPr>
        <w:fldChar w:fldCharType="end"/>
      </w:r>
      <w:r>
        <w:rPr>
          <w:color w:val="auto"/>
          <w:sz w:val="24"/>
          <w:szCs w:val="24"/>
        </w:rPr>
        <w:t xml:space="preserve">: </w:t>
      </w:r>
      <w:r>
        <w:rPr>
          <w:b w:val="0"/>
          <w:color w:val="auto"/>
          <w:sz w:val="24"/>
          <w:szCs w:val="24"/>
        </w:rPr>
        <w:t>Mean HI- titers (log-2) of each group at all experimental days.</w:t>
      </w:r>
      <w:bookmarkEnd w:id="78"/>
      <w:bookmarkEnd w:id="79"/>
    </w:p>
    <w:p w14:paraId="5F3A91F4">
      <w:r>
        <w:t>The figure indicates that the mean of each group (all groups) for all experimental periods (the mean of the 6 sampling dates). The vaccinated groups had higher mean antibody relative to unvaccinated groups. NCTH vaccinated and honey fed group (G6) has the highest mean antibody titer. Relative to the parasite infected vaccinated groups (G1 and G3), uninfected and vaccinated groups (G2 and G4) have higher mean antibody titer.</w:t>
      </w:r>
    </w:p>
    <w:p w14:paraId="25002B13"/>
    <w:p w14:paraId="3F96839D">
      <w:r>
        <w:t xml:space="preserve">Key: </w:t>
      </w:r>
    </w:p>
    <w:p w14:paraId="238EB0CE">
      <w:r>
        <w:t xml:space="preserve">G1=group 1           G2=group 2           G3=group 3          G4=group 4            G5=group 5 </w:t>
      </w:r>
    </w:p>
    <w:p w14:paraId="62D88435">
      <w:r>
        <w:t>G6=group 6           G7=group 7           G8=group 8          G9=group 9</w:t>
      </w:r>
    </w:p>
    <w:p w14:paraId="75F43072">
      <w:pPr>
        <w:spacing w:line="240" w:lineRule="auto"/>
      </w:pPr>
    </w:p>
    <w:p w14:paraId="241B15A2">
      <w:pPr>
        <w:pStyle w:val="4"/>
        <w:spacing w:before="0" w:after="0"/>
      </w:pPr>
      <w:bookmarkStart w:id="80" w:name="_Toc170937980"/>
      <w:bookmarkStart w:id="81" w:name="_Toc168390160"/>
      <w:bookmarkStart w:id="82" w:name="_Toc168523144"/>
      <w:r>
        <w:t>4.1.2. The effect of parasite on vaccines</w:t>
      </w:r>
      <w:bookmarkEnd w:id="80"/>
      <w:bookmarkEnd w:id="81"/>
      <w:bookmarkEnd w:id="82"/>
    </w:p>
    <w:p w14:paraId="516B3A07">
      <w:pPr>
        <w:spacing w:line="240" w:lineRule="auto"/>
      </w:pPr>
    </w:p>
    <w:p w14:paraId="6F718DFC">
      <w:r>
        <w:t xml:space="preserve">The mean antibody titer generated by the two vaccines of Newcastle disease was significantly (P&lt;0.05) increased as compared to the control group and parasite infected only group (Table 6). This indicates that the two vaccines have higher significant effect on the generation of antibodies against NCD though </w:t>
      </w:r>
      <w:r>
        <w:rPr>
          <w:i/>
        </w:rPr>
        <w:t>A.galli</w:t>
      </w:r>
      <w:r>
        <w:t xml:space="preserve"> reduces its full response. From this study it was possible to describe the effect of parasites on the Newcastle disease vaccines, the mean antibody titers of HB1/LaSota and NCTH with the </w:t>
      </w:r>
      <w:r>
        <w:rPr>
          <w:i/>
        </w:rPr>
        <w:t>A.galli</w:t>
      </w:r>
      <w:r>
        <w:t xml:space="preserve"> infestation was relatively lower than the vaccinated(both vaccines) only groups. The mean antibody titer of HB1/LaSota with parasite =104.6&lt;HB1/LaSota without parasite=113.5.Although there was mean antibody difference between two groups (HB1/LaSota vaccinated only and with parasite infected), their mean antibody were significant (P&lt;0.05). </w:t>
      </w:r>
    </w:p>
    <w:p w14:paraId="627548A7">
      <w:pPr>
        <w:spacing w:line="240" w:lineRule="auto"/>
      </w:pPr>
    </w:p>
    <w:p w14:paraId="13DFF1F1">
      <w:r>
        <w:t xml:space="preserve">The mean antibody titer generated by thermostable vaccine against NCD was 112.8 and 91 without and with parasite respectively. The parasite-only infected group had lower mean antibody titer as compared to the vaccinated groups (G1-G6). This indicates that it had an effect on the antibody generation of vaccines against Newcastle disease. </w:t>
      </w:r>
      <w:r>
        <w:rPr>
          <w:i/>
        </w:rPr>
        <w:t>A.galli</w:t>
      </w:r>
      <w:r>
        <w:t xml:space="preserve"> has non-significant (P&gt;0.05) effect on the rise of antibody against NCD. Conversely it reduced the vaccines response (Table 6).</w:t>
      </w:r>
    </w:p>
    <w:p w14:paraId="7F9E8A4D">
      <w:pPr>
        <w:spacing w:line="240" w:lineRule="auto"/>
      </w:pPr>
    </w:p>
    <w:p w14:paraId="159572C1">
      <w:pPr>
        <w:pStyle w:val="10"/>
        <w:spacing w:after="0" w:line="360" w:lineRule="auto"/>
        <w:rPr>
          <w:b w:val="0"/>
          <w:color w:val="auto"/>
          <w:sz w:val="24"/>
          <w:szCs w:val="24"/>
        </w:rPr>
      </w:pPr>
      <w:bookmarkStart w:id="83" w:name="_Toc168574021"/>
      <w:r>
        <w:rPr>
          <w:color w:val="auto"/>
          <w:sz w:val="24"/>
          <w:szCs w:val="24"/>
        </w:rPr>
        <w:t xml:space="preserve">Table </w:t>
      </w:r>
      <w:r>
        <w:rPr>
          <w:color w:val="auto"/>
          <w:sz w:val="24"/>
          <w:szCs w:val="24"/>
        </w:rPr>
        <w:fldChar w:fldCharType="begin"/>
      </w:r>
      <w:r>
        <w:rPr>
          <w:color w:val="auto"/>
          <w:sz w:val="24"/>
          <w:szCs w:val="24"/>
        </w:rPr>
        <w:instrText xml:space="preserve"> SEQ Table \* ARABIC </w:instrText>
      </w:r>
      <w:r>
        <w:rPr>
          <w:color w:val="auto"/>
          <w:sz w:val="24"/>
          <w:szCs w:val="24"/>
        </w:rPr>
        <w:fldChar w:fldCharType="separate"/>
      </w:r>
      <w:r>
        <w:rPr>
          <w:color w:val="auto"/>
          <w:sz w:val="24"/>
          <w:szCs w:val="24"/>
        </w:rPr>
        <w:t>6</w:t>
      </w:r>
      <w:r>
        <w:rPr>
          <w:color w:val="auto"/>
          <w:sz w:val="24"/>
          <w:szCs w:val="24"/>
        </w:rPr>
        <w:fldChar w:fldCharType="end"/>
      </w:r>
      <w:r>
        <w:rPr>
          <w:b w:val="0"/>
          <w:color w:val="auto"/>
          <w:sz w:val="24"/>
          <w:szCs w:val="24"/>
        </w:rPr>
        <w:t>: The mean HI titration for sera collected on vaccinated with/ without parasite</w:t>
      </w:r>
      <w:bookmarkEnd w:id="83"/>
    </w:p>
    <w:tbl>
      <w:tblPr>
        <w:tblStyle w:val="8"/>
        <w:tblW w:w="0" w:type="auto"/>
        <w:tblInd w:w="0" w:type="dxa"/>
        <w:tblLayout w:type="autofit"/>
        <w:tblCellMar>
          <w:top w:w="0" w:type="dxa"/>
          <w:left w:w="108" w:type="dxa"/>
          <w:bottom w:w="0" w:type="dxa"/>
          <w:right w:w="108" w:type="dxa"/>
        </w:tblCellMar>
      </w:tblPr>
      <w:tblGrid>
        <w:gridCol w:w="510"/>
        <w:gridCol w:w="1416"/>
        <w:gridCol w:w="2652"/>
        <w:gridCol w:w="1385"/>
        <w:gridCol w:w="1679"/>
        <w:gridCol w:w="1214"/>
      </w:tblGrid>
      <w:tr w14:paraId="2DB00C29">
        <w:tblPrEx>
          <w:tblCellMar>
            <w:top w:w="0" w:type="dxa"/>
            <w:left w:w="108" w:type="dxa"/>
            <w:bottom w:w="0" w:type="dxa"/>
            <w:right w:w="108" w:type="dxa"/>
          </w:tblCellMar>
        </w:tblPrEx>
        <w:tc>
          <w:tcPr>
            <w:tcW w:w="485" w:type="dxa"/>
            <w:tcBorders>
              <w:left w:val="nil"/>
              <w:bottom w:val="single" w:color="auto" w:sz="4" w:space="0"/>
              <w:right w:val="nil"/>
            </w:tcBorders>
          </w:tcPr>
          <w:p w14:paraId="4E91505F">
            <w:pPr>
              <w:rPr>
                <w:rFonts w:cs="Times New Roman"/>
                <w:b/>
                <w:szCs w:val="24"/>
              </w:rPr>
            </w:pPr>
            <w:r>
              <w:rPr>
                <w:rFonts w:cs="Times New Roman"/>
                <w:b/>
                <w:szCs w:val="24"/>
              </w:rPr>
              <w:t>N</w:t>
            </w:r>
            <w:r>
              <w:rPr>
                <w:rFonts w:cs="Times New Roman"/>
                <w:b/>
                <w:szCs w:val="24"/>
                <w:u w:val="single"/>
              </w:rPr>
              <w:t>o</w:t>
            </w:r>
            <w:r>
              <w:rPr>
                <w:rFonts w:cs="Times New Roman"/>
                <w:b/>
                <w:szCs w:val="24"/>
              </w:rPr>
              <w:t xml:space="preserve"> </w:t>
            </w:r>
          </w:p>
        </w:tc>
        <w:tc>
          <w:tcPr>
            <w:tcW w:w="1316" w:type="dxa"/>
            <w:tcBorders>
              <w:left w:val="nil"/>
              <w:bottom w:val="single" w:color="auto" w:sz="4" w:space="0"/>
              <w:right w:val="nil"/>
            </w:tcBorders>
          </w:tcPr>
          <w:p w14:paraId="284A4482">
            <w:pPr>
              <w:rPr>
                <w:rFonts w:cs="Times New Roman"/>
                <w:b/>
                <w:szCs w:val="24"/>
              </w:rPr>
            </w:pPr>
            <w:r>
              <w:rPr>
                <w:rFonts w:cs="Times New Roman"/>
                <w:b/>
                <w:szCs w:val="24"/>
              </w:rPr>
              <w:t>Vaccines</w:t>
            </w:r>
          </w:p>
        </w:tc>
        <w:tc>
          <w:tcPr>
            <w:tcW w:w="2719" w:type="dxa"/>
            <w:tcBorders>
              <w:left w:val="nil"/>
              <w:bottom w:val="single" w:color="auto" w:sz="4" w:space="0"/>
              <w:right w:val="nil"/>
            </w:tcBorders>
          </w:tcPr>
          <w:p w14:paraId="68EF0006">
            <w:pPr>
              <w:rPr>
                <w:rFonts w:cs="Times New Roman"/>
                <w:b/>
                <w:szCs w:val="24"/>
              </w:rPr>
            </w:pPr>
            <w:r>
              <w:rPr>
                <w:rFonts w:cs="Times New Roman"/>
                <w:b/>
                <w:szCs w:val="24"/>
              </w:rPr>
              <w:t>Groups</w:t>
            </w:r>
          </w:p>
        </w:tc>
        <w:tc>
          <w:tcPr>
            <w:tcW w:w="1410" w:type="dxa"/>
            <w:tcBorders>
              <w:left w:val="nil"/>
              <w:bottom w:val="single" w:color="auto" w:sz="4" w:space="0"/>
              <w:right w:val="nil"/>
            </w:tcBorders>
          </w:tcPr>
          <w:p w14:paraId="7ED958D8">
            <w:pPr>
              <w:rPr>
                <w:rFonts w:cs="Times New Roman"/>
                <w:b/>
                <w:szCs w:val="24"/>
              </w:rPr>
            </w:pPr>
            <w:r>
              <w:rPr>
                <w:rFonts w:cs="Times New Roman"/>
                <w:b/>
                <w:szCs w:val="24"/>
              </w:rPr>
              <w:t>Mean</w:t>
            </w:r>
          </w:p>
        </w:tc>
        <w:tc>
          <w:tcPr>
            <w:tcW w:w="1696" w:type="dxa"/>
            <w:tcBorders>
              <w:left w:val="nil"/>
              <w:bottom w:val="single" w:color="auto" w:sz="4" w:space="0"/>
              <w:right w:val="nil"/>
            </w:tcBorders>
          </w:tcPr>
          <w:p w14:paraId="7AD5B0DB">
            <w:pPr>
              <w:rPr>
                <w:rFonts w:cs="Times New Roman"/>
                <w:b/>
                <w:szCs w:val="24"/>
              </w:rPr>
            </w:pPr>
            <w:r>
              <w:rPr>
                <w:rFonts w:cs="Times New Roman"/>
                <w:b/>
                <w:szCs w:val="24"/>
              </w:rPr>
              <w:t>Coefficient</w:t>
            </w:r>
          </w:p>
        </w:tc>
        <w:tc>
          <w:tcPr>
            <w:tcW w:w="1230" w:type="dxa"/>
            <w:tcBorders>
              <w:left w:val="nil"/>
              <w:bottom w:val="single" w:color="auto" w:sz="4" w:space="0"/>
              <w:right w:val="nil"/>
            </w:tcBorders>
          </w:tcPr>
          <w:p w14:paraId="2D2A9446">
            <w:pPr>
              <w:rPr>
                <w:rFonts w:cs="Times New Roman"/>
                <w:b/>
                <w:szCs w:val="24"/>
              </w:rPr>
            </w:pPr>
            <w:r>
              <w:rPr>
                <w:rFonts w:cs="Times New Roman"/>
                <w:b/>
                <w:szCs w:val="24"/>
              </w:rPr>
              <w:t>P-value</w:t>
            </w:r>
          </w:p>
        </w:tc>
      </w:tr>
      <w:tr w14:paraId="1FF14D7A">
        <w:tblPrEx>
          <w:tblCellMar>
            <w:top w:w="0" w:type="dxa"/>
            <w:left w:w="108" w:type="dxa"/>
            <w:bottom w:w="0" w:type="dxa"/>
            <w:right w:w="108" w:type="dxa"/>
          </w:tblCellMar>
        </w:tblPrEx>
        <w:tc>
          <w:tcPr>
            <w:tcW w:w="485" w:type="dxa"/>
            <w:vMerge w:val="restart"/>
            <w:tcBorders>
              <w:top w:val="single" w:color="auto" w:sz="4" w:space="0"/>
              <w:left w:val="nil"/>
              <w:bottom w:val="nil"/>
              <w:right w:val="nil"/>
            </w:tcBorders>
          </w:tcPr>
          <w:p w14:paraId="79A0172B">
            <w:pPr>
              <w:rPr>
                <w:rFonts w:cs="Times New Roman"/>
                <w:szCs w:val="24"/>
              </w:rPr>
            </w:pPr>
            <w:r>
              <w:rPr>
                <w:rFonts w:cs="Times New Roman"/>
                <w:szCs w:val="24"/>
              </w:rPr>
              <w:t>1</w:t>
            </w:r>
          </w:p>
        </w:tc>
        <w:tc>
          <w:tcPr>
            <w:tcW w:w="1316" w:type="dxa"/>
            <w:vMerge w:val="restart"/>
            <w:tcBorders>
              <w:top w:val="single" w:color="auto" w:sz="4" w:space="0"/>
              <w:left w:val="nil"/>
              <w:bottom w:val="nil"/>
              <w:right w:val="nil"/>
            </w:tcBorders>
          </w:tcPr>
          <w:p w14:paraId="19F90822">
            <w:pPr>
              <w:rPr>
                <w:rFonts w:cs="Times New Roman"/>
                <w:szCs w:val="24"/>
              </w:rPr>
            </w:pPr>
            <w:r>
              <w:rPr>
                <w:rFonts w:cs="Times New Roman"/>
                <w:szCs w:val="24"/>
              </w:rPr>
              <w:t>HB1/LaSota</w:t>
            </w:r>
          </w:p>
        </w:tc>
        <w:tc>
          <w:tcPr>
            <w:tcW w:w="2719" w:type="dxa"/>
            <w:tcBorders>
              <w:top w:val="nil"/>
              <w:left w:val="nil"/>
              <w:bottom w:val="nil"/>
              <w:right w:val="nil"/>
            </w:tcBorders>
          </w:tcPr>
          <w:p w14:paraId="4EEEC02D">
            <w:pPr>
              <w:rPr>
                <w:rFonts w:cs="Times New Roman"/>
                <w:szCs w:val="24"/>
              </w:rPr>
            </w:pPr>
            <w:r>
              <w:rPr>
                <w:rFonts w:cs="Times New Roman"/>
                <w:szCs w:val="24"/>
              </w:rPr>
              <w:t>Vaccinated only</w:t>
            </w:r>
          </w:p>
        </w:tc>
        <w:tc>
          <w:tcPr>
            <w:tcW w:w="1410" w:type="dxa"/>
            <w:tcBorders>
              <w:top w:val="nil"/>
              <w:left w:val="nil"/>
              <w:bottom w:val="nil"/>
              <w:right w:val="nil"/>
            </w:tcBorders>
          </w:tcPr>
          <w:p w14:paraId="403229D5">
            <w:pPr>
              <w:rPr>
                <w:rFonts w:cs="Times New Roman"/>
                <w:szCs w:val="24"/>
              </w:rPr>
            </w:pPr>
            <w:r>
              <w:rPr>
                <w:rFonts w:cs="Times New Roman"/>
                <w:szCs w:val="24"/>
              </w:rPr>
              <w:t>113.45</w:t>
            </w:r>
          </w:p>
        </w:tc>
        <w:tc>
          <w:tcPr>
            <w:tcW w:w="1696" w:type="dxa"/>
            <w:tcBorders>
              <w:top w:val="nil"/>
              <w:left w:val="nil"/>
              <w:bottom w:val="nil"/>
              <w:right w:val="nil"/>
            </w:tcBorders>
          </w:tcPr>
          <w:p w14:paraId="54413236">
            <w:pPr>
              <w:rPr>
                <w:rFonts w:cs="Times New Roman"/>
                <w:szCs w:val="24"/>
              </w:rPr>
            </w:pPr>
            <w:r>
              <w:rPr>
                <w:rFonts w:cs="Times New Roman"/>
                <w:szCs w:val="24"/>
              </w:rPr>
              <w:t>86.727</w:t>
            </w:r>
          </w:p>
        </w:tc>
        <w:tc>
          <w:tcPr>
            <w:tcW w:w="1230" w:type="dxa"/>
            <w:tcBorders>
              <w:top w:val="nil"/>
              <w:left w:val="nil"/>
              <w:bottom w:val="nil"/>
              <w:right w:val="nil"/>
            </w:tcBorders>
          </w:tcPr>
          <w:p w14:paraId="6AFBA4F0">
            <w:pPr>
              <w:rPr>
                <w:rFonts w:cs="Times New Roman"/>
                <w:szCs w:val="24"/>
              </w:rPr>
            </w:pPr>
            <w:r>
              <w:rPr>
                <w:rFonts w:cs="Times New Roman"/>
                <w:szCs w:val="24"/>
              </w:rPr>
              <w:t>0.0002</w:t>
            </w:r>
          </w:p>
        </w:tc>
      </w:tr>
      <w:tr w14:paraId="030DB9E4">
        <w:tblPrEx>
          <w:tblCellMar>
            <w:top w:w="0" w:type="dxa"/>
            <w:left w:w="108" w:type="dxa"/>
            <w:bottom w:w="0" w:type="dxa"/>
            <w:right w:w="108" w:type="dxa"/>
          </w:tblCellMar>
        </w:tblPrEx>
        <w:tc>
          <w:tcPr>
            <w:tcW w:w="485" w:type="dxa"/>
            <w:vMerge w:val="continue"/>
            <w:tcBorders>
              <w:top w:val="nil"/>
              <w:left w:val="nil"/>
              <w:bottom w:val="nil"/>
              <w:right w:val="nil"/>
            </w:tcBorders>
          </w:tcPr>
          <w:p w14:paraId="07B08A41">
            <w:pPr>
              <w:rPr>
                <w:rFonts w:cs="Times New Roman"/>
                <w:szCs w:val="24"/>
              </w:rPr>
            </w:pPr>
          </w:p>
        </w:tc>
        <w:tc>
          <w:tcPr>
            <w:tcW w:w="1316" w:type="dxa"/>
            <w:vMerge w:val="continue"/>
            <w:tcBorders>
              <w:top w:val="nil"/>
              <w:left w:val="nil"/>
              <w:bottom w:val="nil"/>
              <w:right w:val="nil"/>
            </w:tcBorders>
          </w:tcPr>
          <w:p w14:paraId="4A3D7F70">
            <w:pPr>
              <w:rPr>
                <w:rFonts w:cs="Times New Roman"/>
                <w:szCs w:val="24"/>
              </w:rPr>
            </w:pPr>
          </w:p>
        </w:tc>
        <w:tc>
          <w:tcPr>
            <w:tcW w:w="2719" w:type="dxa"/>
            <w:tcBorders>
              <w:top w:val="nil"/>
              <w:left w:val="nil"/>
              <w:bottom w:val="nil"/>
              <w:right w:val="nil"/>
            </w:tcBorders>
          </w:tcPr>
          <w:p w14:paraId="5BC7FA2A">
            <w:pPr>
              <w:rPr>
                <w:rFonts w:cs="Times New Roman"/>
                <w:szCs w:val="24"/>
              </w:rPr>
            </w:pPr>
            <w:r>
              <w:rPr>
                <w:rFonts w:cs="Times New Roman"/>
                <w:szCs w:val="24"/>
              </w:rPr>
              <w:t>Parasite infected vaccinated</w:t>
            </w:r>
          </w:p>
        </w:tc>
        <w:tc>
          <w:tcPr>
            <w:tcW w:w="1410" w:type="dxa"/>
            <w:tcBorders>
              <w:top w:val="nil"/>
              <w:left w:val="nil"/>
              <w:bottom w:val="nil"/>
              <w:right w:val="nil"/>
            </w:tcBorders>
          </w:tcPr>
          <w:p w14:paraId="56CCE131">
            <w:pPr>
              <w:rPr>
                <w:rFonts w:cs="Times New Roman"/>
                <w:szCs w:val="24"/>
              </w:rPr>
            </w:pPr>
            <w:r>
              <w:rPr>
                <w:rFonts w:cs="Times New Roman"/>
                <w:szCs w:val="24"/>
              </w:rPr>
              <w:t>104.60</w:t>
            </w:r>
          </w:p>
        </w:tc>
        <w:tc>
          <w:tcPr>
            <w:tcW w:w="1696" w:type="dxa"/>
            <w:tcBorders>
              <w:top w:val="nil"/>
              <w:left w:val="nil"/>
              <w:bottom w:val="nil"/>
              <w:right w:val="nil"/>
            </w:tcBorders>
          </w:tcPr>
          <w:p w14:paraId="02EE4E69">
            <w:pPr>
              <w:rPr>
                <w:rFonts w:cs="Times New Roman"/>
                <w:szCs w:val="24"/>
              </w:rPr>
            </w:pPr>
            <w:r>
              <w:rPr>
                <w:rFonts w:cs="Times New Roman"/>
                <w:szCs w:val="24"/>
              </w:rPr>
              <w:t>77.879</w:t>
            </w:r>
          </w:p>
        </w:tc>
        <w:tc>
          <w:tcPr>
            <w:tcW w:w="1230" w:type="dxa"/>
            <w:tcBorders>
              <w:top w:val="nil"/>
              <w:left w:val="nil"/>
              <w:bottom w:val="nil"/>
              <w:right w:val="nil"/>
            </w:tcBorders>
          </w:tcPr>
          <w:p w14:paraId="275F34AA">
            <w:pPr>
              <w:rPr>
                <w:rFonts w:cs="Times New Roman"/>
                <w:szCs w:val="24"/>
              </w:rPr>
            </w:pPr>
            <w:r>
              <w:rPr>
                <w:rFonts w:cs="Times New Roman"/>
                <w:szCs w:val="24"/>
              </w:rPr>
              <w:t>0.0003</w:t>
            </w:r>
          </w:p>
        </w:tc>
      </w:tr>
      <w:tr w14:paraId="134D6DA6">
        <w:tblPrEx>
          <w:tblCellMar>
            <w:top w:w="0" w:type="dxa"/>
            <w:left w:w="108" w:type="dxa"/>
            <w:bottom w:w="0" w:type="dxa"/>
            <w:right w:w="108" w:type="dxa"/>
          </w:tblCellMar>
        </w:tblPrEx>
        <w:tc>
          <w:tcPr>
            <w:tcW w:w="485" w:type="dxa"/>
            <w:vMerge w:val="restart"/>
            <w:tcBorders>
              <w:top w:val="nil"/>
              <w:left w:val="nil"/>
              <w:bottom w:val="nil"/>
              <w:right w:val="nil"/>
            </w:tcBorders>
          </w:tcPr>
          <w:p w14:paraId="3290BDF4">
            <w:pPr>
              <w:rPr>
                <w:rFonts w:cs="Times New Roman"/>
                <w:szCs w:val="24"/>
              </w:rPr>
            </w:pPr>
            <w:r>
              <w:rPr>
                <w:rFonts w:cs="Times New Roman"/>
                <w:szCs w:val="24"/>
              </w:rPr>
              <w:t>2</w:t>
            </w:r>
          </w:p>
        </w:tc>
        <w:tc>
          <w:tcPr>
            <w:tcW w:w="1316" w:type="dxa"/>
            <w:vMerge w:val="restart"/>
            <w:tcBorders>
              <w:top w:val="nil"/>
              <w:left w:val="nil"/>
              <w:bottom w:val="nil"/>
              <w:right w:val="nil"/>
            </w:tcBorders>
          </w:tcPr>
          <w:p w14:paraId="6E972997">
            <w:pPr>
              <w:rPr>
                <w:rFonts w:cs="Times New Roman"/>
                <w:szCs w:val="24"/>
              </w:rPr>
            </w:pPr>
          </w:p>
        </w:tc>
        <w:tc>
          <w:tcPr>
            <w:tcW w:w="2719" w:type="dxa"/>
            <w:tcBorders>
              <w:top w:val="nil"/>
              <w:left w:val="nil"/>
              <w:bottom w:val="nil"/>
              <w:right w:val="nil"/>
            </w:tcBorders>
          </w:tcPr>
          <w:p w14:paraId="7C4228BB">
            <w:pPr>
              <w:rPr>
                <w:rFonts w:cs="Times New Roman"/>
                <w:szCs w:val="24"/>
              </w:rPr>
            </w:pPr>
            <w:r>
              <w:rPr>
                <w:rFonts w:cs="Times New Roman"/>
                <w:szCs w:val="24"/>
              </w:rPr>
              <w:t>Vaccinated only</w:t>
            </w:r>
          </w:p>
        </w:tc>
        <w:tc>
          <w:tcPr>
            <w:tcW w:w="1410" w:type="dxa"/>
            <w:tcBorders>
              <w:top w:val="nil"/>
              <w:left w:val="nil"/>
              <w:bottom w:val="nil"/>
              <w:right w:val="nil"/>
            </w:tcBorders>
          </w:tcPr>
          <w:p w14:paraId="3C6A23A9">
            <w:pPr>
              <w:rPr>
                <w:rFonts w:cs="Times New Roman"/>
                <w:szCs w:val="24"/>
              </w:rPr>
            </w:pPr>
            <w:r>
              <w:rPr>
                <w:rFonts w:cs="Times New Roman"/>
                <w:szCs w:val="24"/>
              </w:rPr>
              <w:t>112.84</w:t>
            </w:r>
          </w:p>
        </w:tc>
        <w:tc>
          <w:tcPr>
            <w:tcW w:w="1696" w:type="dxa"/>
            <w:tcBorders>
              <w:top w:val="nil"/>
              <w:left w:val="nil"/>
              <w:bottom w:val="nil"/>
              <w:right w:val="nil"/>
            </w:tcBorders>
          </w:tcPr>
          <w:p w14:paraId="0A38DACF">
            <w:pPr>
              <w:rPr>
                <w:rFonts w:cs="Times New Roman"/>
                <w:szCs w:val="24"/>
              </w:rPr>
            </w:pPr>
            <w:r>
              <w:rPr>
                <w:rFonts w:cs="Times New Roman"/>
                <w:szCs w:val="24"/>
              </w:rPr>
              <w:t>86.121</w:t>
            </w:r>
          </w:p>
        </w:tc>
        <w:tc>
          <w:tcPr>
            <w:tcW w:w="1230" w:type="dxa"/>
            <w:tcBorders>
              <w:top w:val="nil"/>
              <w:left w:val="nil"/>
              <w:bottom w:val="nil"/>
              <w:right w:val="nil"/>
            </w:tcBorders>
          </w:tcPr>
          <w:p w14:paraId="362CECB1">
            <w:pPr>
              <w:rPr>
                <w:rFonts w:cs="Times New Roman"/>
                <w:szCs w:val="24"/>
              </w:rPr>
            </w:pPr>
            <w:r>
              <w:rPr>
                <w:rFonts w:cs="Times New Roman"/>
                <w:szCs w:val="24"/>
              </w:rPr>
              <w:t>0.0003</w:t>
            </w:r>
          </w:p>
        </w:tc>
      </w:tr>
      <w:tr w14:paraId="70633CE4">
        <w:tblPrEx>
          <w:tblCellMar>
            <w:top w:w="0" w:type="dxa"/>
            <w:left w:w="108" w:type="dxa"/>
            <w:bottom w:w="0" w:type="dxa"/>
            <w:right w:w="108" w:type="dxa"/>
          </w:tblCellMar>
        </w:tblPrEx>
        <w:tc>
          <w:tcPr>
            <w:tcW w:w="485" w:type="dxa"/>
            <w:vMerge w:val="continue"/>
            <w:tcBorders>
              <w:top w:val="nil"/>
              <w:left w:val="nil"/>
              <w:bottom w:val="nil"/>
              <w:right w:val="nil"/>
            </w:tcBorders>
          </w:tcPr>
          <w:p w14:paraId="1C6425C2">
            <w:pPr>
              <w:rPr>
                <w:rFonts w:cs="Times New Roman"/>
                <w:b/>
                <w:szCs w:val="24"/>
              </w:rPr>
            </w:pPr>
          </w:p>
        </w:tc>
        <w:tc>
          <w:tcPr>
            <w:tcW w:w="1316" w:type="dxa"/>
            <w:vMerge w:val="continue"/>
            <w:tcBorders>
              <w:top w:val="nil"/>
              <w:left w:val="nil"/>
              <w:bottom w:val="nil"/>
              <w:right w:val="nil"/>
            </w:tcBorders>
          </w:tcPr>
          <w:p w14:paraId="3D25C911">
            <w:pPr>
              <w:rPr>
                <w:rFonts w:cs="Times New Roman"/>
                <w:szCs w:val="24"/>
              </w:rPr>
            </w:pPr>
          </w:p>
        </w:tc>
        <w:tc>
          <w:tcPr>
            <w:tcW w:w="2719" w:type="dxa"/>
            <w:tcBorders>
              <w:top w:val="nil"/>
              <w:left w:val="nil"/>
              <w:bottom w:val="nil"/>
              <w:right w:val="nil"/>
            </w:tcBorders>
          </w:tcPr>
          <w:p w14:paraId="7EBF66F3">
            <w:pPr>
              <w:rPr>
                <w:rFonts w:cs="Times New Roman"/>
                <w:szCs w:val="24"/>
              </w:rPr>
            </w:pPr>
            <w:r>
              <w:rPr>
                <w:rFonts w:cs="Times New Roman"/>
                <w:szCs w:val="24"/>
              </w:rPr>
              <w:t>Parasite infected vaccinated</w:t>
            </w:r>
          </w:p>
        </w:tc>
        <w:tc>
          <w:tcPr>
            <w:tcW w:w="1410" w:type="dxa"/>
            <w:tcBorders>
              <w:top w:val="nil"/>
              <w:left w:val="nil"/>
              <w:bottom w:val="nil"/>
              <w:right w:val="nil"/>
            </w:tcBorders>
          </w:tcPr>
          <w:p w14:paraId="480D0778">
            <w:pPr>
              <w:rPr>
                <w:rFonts w:cs="Times New Roman"/>
                <w:szCs w:val="24"/>
              </w:rPr>
            </w:pPr>
            <w:r>
              <w:rPr>
                <w:rFonts w:cs="Times New Roman"/>
                <w:szCs w:val="24"/>
              </w:rPr>
              <w:t>91.09</w:t>
            </w:r>
          </w:p>
        </w:tc>
        <w:tc>
          <w:tcPr>
            <w:tcW w:w="1696" w:type="dxa"/>
            <w:tcBorders>
              <w:top w:val="nil"/>
              <w:left w:val="nil"/>
              <w:bottom w:val="nil"/>
              <w:right w:val="nil"/>
            </w:tcBorders>
          </w:tcPr>
          <w:p w14:paraId="27F0B10C">
            <w:pPr>
              <w:rPr>
                <w:rFonts w:cs="Times New Roman"/>
                <w:szCs w:val="24"/>
              </w:rPr>
            </w:pPr>
            <w:r>
              <w:rPr>
                <w:rFonts w:cs="Times New Roman"/>
                <w:szCs w:val="24"/>
              </w:rPr>
              <w:t>64.364</w:t>
            </w:r>
          </w:p>
        </w:tc>
        <w:tc>
          <w:tcPr>
            <w:tcW w:w="1230" w:type="dxa"/>
            <w:tcBorders>
              <w:top w:val="nil"/>
              <w:left w:val="nil"/>
              <w:bottom w:val="nil"/>
              <w:right w:val="nil"/>
            </w:tcBorders>
          </w:tcPr>
          <w:p w14:paraId="55020479">
            <w:pPr>
              <w:rPr>
                <w:rFonts w:cs="Times New Roman"/>
                <w:szCs w:val="24"/>
              </w:rPr>
            </w:pPr>
            <w:r>
              <w:rPr>
                <w:rFonts w:cs="Times New Roman"/>
                <w:szCs w:val="24"/>
              </w:rPr>
              <w:t>0.0001</w:t>
            </w:r>
          </w:p>
        </w:tc>
      </w:tr>
      <w:tr w14:paraId="50C33B7E">
        <w:tblPrEx>
          <w:tblCellMar>
            <w:top w:w="0" w:type="dxa"/>
            <w:left w:w="108" w:type="dxa"/>
            <w:bottom w:w="0" w:type="dxa"/>
            <w:right w:w="108" w:type="dxa"/>
          </w:tblCellMar>
        </w:tblPrEx>
        <w:trPr>
          <w:trHeight w:val="386" w:hRule="atLeast"/>
        </w:trPr>
        <w:tc>
          <w:tcPr>
            <w:tcW w:w="485" w:type="dxa"/>
            <w:vMerge w:val="restart"/>
            <w:tcBorders>
              <w:top w:val="nil"/>
              <w:left w:val="nil"/>
              <w:right w:val="nil"/>
            </w:tcBorders>
          </w:tcPr>
          <w:p w14:paraId="7756B00F">
            <w:pPr>
              <w:rPr>
                <w:rFonts w:cs="Times New Roman"/>
                <w:szCs w:val="24"/>
              </w:rPr>
            </w:pPr>
            <w:r>
              <w:rPr>
                <w:rFonts w:cs="Times New Roman"/>
                <w:szCs w:val="24"/>
              </w:rPr>
              <w:t>3</w:t>
            </w:r>
          </w:p>
        </w:tc>
        <w:tc>
          <w:tcPr>
            <w:tcW w:w="1316" w:type="dxa"/>
            <w:vMerge w:val="restart"/>
            <w:tcBorders>
              <w:top w:val="nil"/>
              <w:left w:val="nil"/>
              <w:right w:val="nil"/>
            </w:tcBorders>
          </w:tcPr>
          <w:p w14:paraId="6C17A339">
            <w:pPr>
              <w:rPr>
                <w:rFonts w:cs="Times New Roman"/>
                <w:szCs w:val="24"/>
              </w:rPr>
            </w:pPr>
            <w:r>
              <w:rPr>
                <w:rFonts w:cs="Times New Roman"/>
                <w:szCs w:val="24"/>
              </w:rPr>
              <w:t>Non- vaccinated</w:t>
            </w:r>
          </w:p>
        </w:tc>
        <w:tc>
          <w:tcPr>
            <w:tcW w:w="2719" w:type="dxa"/>
            <w:tcBorders>
              <w:top w:val="nil"/>
              <w:left w:val="nil"/>
              <w:bottom w:val="nil"/>
              <w:right w:val="nil"/>
            </w:tcBorders>
          </w:tcPr>
          <w:p w14:paraId="6F39FE55">
            <w:pPr>
              <w:rPr>
                <w:rFonts w:cs="Times New Roman"/>
                <w:szCs w:val="24"/>
              </w:rPr>
            </w:pPr>
            <w:r>
              <w:rPr>
                <w:rFonts w:cs="Times New Roman"/>
                <w:szCs w:val="24"/>
              </w:rPr>
              <w:t>Parasite infected</w:t>
            </w:r>
          </w:p>
        </w:tc>
        <w:tc>
          <w:tcPr>
            <w:tcW w:w="1410" w:type="dxa"/>
            <w:tcBorders>
              <w:top w:val="nil"/>
              <w:left w:val="nil"/>
              <w:bottom w:val="nil"/>
              <w:right w:val="nil"/>
            </w:tcBorders>
          </w:tcPr>
          <w:p w14:paraId="3178166B">
            <w:pPr>
              <w:rPr>
                <w:rFonts w:cs="Times New Roman"/>
                <w:szCs w:val="24"/>
              </w:rPr>
            </w:pPr>
            <w:r>
              <w:rPr>
                <w:rFonts w:cs="Times New Roman"/>
                <w:szCs w:val="24"/>
              </w:rPr>
              <w:t>32.667</w:t>
            </w:r>
          </w:p>
        </w:tc>
        <w:tc>
          <w:tcPr>
            <w:tcW w:w="1696" w:type="dxa"/>
            <w:tcBorders>
              <w:top w:val="nil"/>
              <w:left w:val="nil"/>
              <w:bottom w:val="nil"/>
              <w:right w:val="nil"/>
            </w:tcBorders>
          </w:tcPr>
          <w:p w14:paraId="4E543579">
            <w:pPr>
              <w:rPr>
                <w:rFonts w:cs="Times New Roman"/>
                <w:szCs w:val="24"/>
              </w:rPr>
            </w:pPr>
            <w:r>
              <w:rPr>
                <w:rFonts w:cs="Times New Roman"/>
                <w:szCs w:val="24"/>
              </w:rPr>
              <w:t>7.0</w:t>
            </w:r>
          </w:p>
        </w:tc>
        <w:tc>
          <w:tcPr>
            <w:tcW w:w="1230" w:type="dxa"/>
            <w:tcBorders>
              <w:top w:val="nil"/>
              <w:left w:val="nil"/>
              <w:bottom w:val="nil"/>
              <w:right w:val="nil"/>
            </w:tcBorders>
          </w:tcPr>
          <w:p w14:paraId="168F24ED">
            <w:pPr>
              <w:rPr>
                <w:rFonts w:cs="Times New Roman"/>
                <w:szCs w:val="24"/>
              </w:rPr>
            </w:pPr>
            <w:r>
              <w:rPr>
                <w:rFonts w:cs="Times New Roman"/>
                <w:szCs w:val="24"/>
              </w:rPr>
              <w:t>0.47</w:t>
            </w:r>
          </w:p>
        </w:tc>
      </w:tr>
      <w:tr w14:paraId="7D25D348">
        <w:tblPrEx>
          <w:tblCellMar>
            <w:top w:w="0" w:type="dxa"/>
            <w:left w:w="108" w:type="dxa"/>
            <w:bottom w:w="0" w:type="dxa"/>
            <w:right w:w="108" w:type="dxa"/>
          </w:tblCellMar>
        </w:tblPrEx>
        <w:trPr>
          <w:trHeight w:val="386" w:hRule="atLeast"/>
        </w:trPr>
        <w:tc>
          <w:tcPr>
            <w:tcW w:w="485" w:type="dxa"/>
            <w:vMerge w:val="continue"/>
            <w:tcBorders>
              <w:left w:val="nil"/>
              <w:right w:val="nil"/>
            </w:tcBorders>
          </w:tcPr>
          <w:p w14:paraId="5DB8B57F">
            <w:pPr>
              <w:rPr>
                <w:rFonts w:cs="Times New Roman"/>
                <w:szCs w:val="24"/>
              </w:rPr>
            </w:pPr>
          </w:p>
        </w:tc>
        <w:tc>
          <w:tcPr>
            <w:tcW w:w="1316" w:type="dxa"/>
            <w:vMerge w:val="continue"/>
            <w:tcBorders>
              <w:left w:val="nil"/>
              <w:right w:val="nil"/>
            </w:tcBorders>
          </w:tcPr>
          <w:p w14:paraId="75C17DA1">
            <w:pPr>
              <w:rPr>
                <w:rFonts w:cs="Times New Roman"/>
                <w:szCs w:val="24"/>
              </w:rPr>
            </w:pPr>
          </w:p>
        </w:tc>
        <w:tc>
          <w:tcPr>
            <w:tcW w:w="2719" w:type="dxa"/>
            <w:tcBorders>
              <w:top w:val="nil"/>
              <w:left w:val="nil"/>
              <w:right w:val="nil"/>
            </w:tcBorders>
          </w:tcPr>
          <w:p w14:paraId="3303F801">
            <w:pPr>
              <w:rPr>
                <w:rFonts w:cs="Times New Roman"/>
                <w:szCs w:val="24"/>
              </w:rPr>
            </w:pPr>
            <w:r>
              <w:rPr>
                <w:rFonts w:cs="Times New Roman"/>
                <w:szCs w:val="24"/>
              </w:rPr>
              <w:t xml:space="preserve">Control </w:t>
            </w:r>
          </w:p>
        </w:tc>
        <w:tc>
          <w:tcPr>
            <w:tcW w:w="1410" w:type="dxa"/>
            <w:tcBorders>
              <w:top w:val="nil"/>
              <w:left w:val="nil"/>
              <w:right w:val="nil"/>
            </w:tcBorders>
          </w:tcPr>
          <w:p w14:paraId="20C1B257">
            <w:pPr>
              <w:rPr>
                <w:rFonts w:cs="Times New Roman"/>
                <w:szCs w:val="24"/>
              </w:rPr>
            </w:pPr>
            <w:r>
              <w:rPr>
                <w:rFonts w:cs="Times New Roman"/>
                <w:szCs w:val="24"/>
              </w:rPr>
              <w:t>26.72</w:t>
            </w:r>
          </w:p>
        </w:tc>
        <w:tc>
          <w:tcPr>
            <w:tcW w:w="1696" w:type="dxa"/>
            <w:tcBorders>
              <w:top w:val="nil"/>
              <w:left w:val="nil"/>
              <w:right w:val="nil"/>
            </w:tcBorders>
          </w:tcPr>
          <w:p w14:paraId="31287887">
            <w:pPr>
              <w:rPr>
                <w:rFonts w:cs="Times New Roman"/>
                <w:szCs w:val="24"/>
              </w:rPr>
            </w:pPr>
            <w:r>
              <w:rPr>
                <w:rFonts w:cs="Times New Roman"/>
                <w:szCs w:val="24"/>
              </w:rPr>
              <w:t>Ref</w:t>
            </w:r>
          </w:p>
        </w:tc>
        <w:tc>
          <w:tcPr>
            <w:tcW w:w="1230" w:type="dxa"/>
            <w:tcBorders>
              <w:top w:val="nil"/>
              <w:left w:val="nil"/>
              <w:right w:val="nil"/>
            </w:tcBorders>
          </w:tcPr>
          <w:p w14:paraId="7DC6402C">
            <w:pPr>
              <w:rPr>
                <w:rFonts w:cs="Times New Roman"/>
                <w:szCs w:val="24"/>
              </w:rPr>
            </w:pPr>
          </w:p>
        </w:tc>
      </w:tr>
    </w:tbl>
    <w:p w14:paraId="0BFBE376"/>
    <w:p w14:paraId="5265C3CE">
      <w:r>
        <w:t>Mean NDV titer was significantly increased in the vaccinated groups (vaccinated only and vaccinated with parasite infected groups) compared to the control unvaccinated group (Table 6). The LaSota/HBI vaccinated group has the higher mean 113 (P&lt;0.05) compared to the parasite infected vaccinated group with a mean 104 (P&lt;0.05). Similarly NDV titer was significantly higher in NCTH vaccinated groups with a mean of 112.84 (P&lt;0.05), unlikely the parasite infected vaccinated group has a mean of 91.09 (P&lt;0.05). The parasite infected group doesn’t show any significant mean difference when compared to the control (P&gt;0.05).</w:t>
      </w:r>
    </w:p>
    <w:p w14:paraId="02ABBFA3">
      <w:pPr>
        <w:spacing w:line="240" w:lineRule="auto"/>
      </w:pPr>
    </w:p>
    <w:p w14:paraId="70F22DC2">
      <w:r>
        <w:t xml:space="preserve">The mean NDV titer was increased by 86.7 and 86.1 when chickens were vaccinated with LaSota/HBI vaccine and NCTH respectively. Mean NDV titer was increased only by 77 and 64 in </w:t>
      </w:r>
      <w:r>
        <w:rPr>
          <w:i/>
        </w:rPr>
        <w:t>A. galli</w:t>
      </w:r>
      <w:r>
        <w:t xml:space="preserve"> infected LaSota/HB1 vaccinated and </w:t>
      </w:r>
      <w:r>
        <w:rPr>
          <w:i/>
        </w:rPr>
        <w:t>A.galli</w:t>
      </w:r>
      <w:r>
        <w:t xml:space="preserve"> infected NCTH vaccinated groups respectively, when compared to the control group. Although it was not significant there was some increment of the mean titer in the parasite infected group compared to the control. It has the mean titer of 32.67, but the control has 26.7.</w:t>
      </w:r>
    </w:p>
    <w:p w14:paraId="576A9B28">
      <w:pPr>
        <w:spacing w:line="240" w:lineRule="auto"/>
      </w:pPr>
    </w:p>
    <w:p w14:paraId="25376958">
      <w:pPr>
        <w:pStyle w:val="4"/>
        <w:spacing w:before="0" w:after="0"/>
      </w:pPr>
      <w:bookmarkStart w:id="84" w:name="_Toc168523145"/>
      <w:bookmarkStart w:id="85" w:name="_Toc170937981"/>
      <w:bookmarkStart w:id="86" w:name="_Toc168390161"/>
      <w:r>
        <w:t>4.1.3. Effect of honey on NCD Vaccines antibody titer</w:t>
      </w:r>
      <w:bookmarkEnd w:id="84"/>
      <w:bookmarkEnd w:id="85"/>
      <w:bookmarkEnd w:id="86"/>
    </w:p>
    <w:p w14:paraId="1FDEE5F8">
      <w:pPr>
        <w:spacing w:line="240" w:lineRule="auto"/>
      </w:pPr>
    </w:p>
    <w:p w14:paraId="28B22D31">
      <w:pPr>
        <w:pStyle w:val="10"/>
        <w:spacing w:after="0" w:line="360" w:lineRule="auto"/>
        <w:rPr>
          <w:rFonts w:cs="Times New Roman"/>
          <w:b w:val="0"/>
          <w:color w:val="auto"/>
          <w:sz w:val="24"/>
          <w:szCs w:val="24"/>
        </w:rPr>
      </w:pPr>
      <w:bookmarkStart w:id="87" w:name="_Toc168574022"/>
      <w:r>
        <w:rPr>
          <w:color w:val="auto"/>
          <w:sz w:val="24"/>
          <w:szCs w:val="24"/>
        </w:rPr>
        <w:t xml:space="preserve">Table </w:t>
      </w:r>
      <w:r>
        <w:rPr>
          <w:color w:val="auto"/>
          <w:sz w:val="24"/>
          <w:szCs w:val="24"/>
        </w:rPr>
        <w:fldChar w:fldCharType="begin"/>
      </w:r>
      <w:r>
        <w:rPr>
          <w:color w:val="auto"/>
          <w:sz w:val="24"/>
          <w:szCs w:val="24"/>
        </w:rPr>
        <w:instrText xml:space="preserve"> SEQ Table \* ARABIC </w:instrText>
      </w:r>
      <w:r>
        <w:rPr>
          <w:color w:val="auto"/>
          <w:sz w:val="24"/>
          <w:szCs w:val="24"/>
        </w:rPr>
        <w:fldChar w:fldCharType="separate"/>
      </w:r>
      <w:r>
        <w:rPr>
          <w:color w:val="auto"/>
          <w:sz w:val="24"/>
          <w:szCs w:val="24"/>
        </w:rPr>
        <w:t>7</w:t>
      </w:r>
      <w:r>
        <w:rPr>
          <w:color w:val="auto"/>
          <w:sz w:val="24"/>
          <w:szCs w:val="24"/>
        </w:rPr>
        <w:fldChar w:fldCharType="end"/>
      </w:r>
      <w:r>
        <w:rPr>
          <w:rFonts w:cs="Times New Roman"/>
          <w:b w:val="0"/>
          <w:color w:val="auto"/>
          <w:sz w:val="24"/>
          <w:szCs w:val="24"/>
        </w:rPr>
        <w:t>: The effect of honey on anti-NDV antibody titer</w:t>
      </w:r>
      <w:bookmarkEnd w:id="87"/>
    </w:p>
    <w:tbl>
      <w:tblPr>
        <w:tblStyle w:val="8"/>
        <w:tblW w:w="0" w:type="auto"/>
        <w:tblInd w:w="0" w:type="dxa"/>
        <w:tblLayout w:type="autofit"/>
        <w:tblCellMar>
          <w:top w:w="0" w:type="dxa"/>
          <w:left w:w="108" w:type="dxa"/>
          <w:bottom w:w="0" w:type="dxa"/>
          <w:right w:w="108" w:type="dxa"/>
        </w:tblCellMar>
      </w:tblPr>
      <w:tblGrid>
        <w:gridCol w:w="510"/>
        <w:gridCol w:w="1416"/>
        <w:gridCol w:w="2176"/>
        <w:gridCol w:w="1566"/>
        <w:gridCol w:w="1971"/>
        <w:gridCol w:w="1217"/>
      </w:tblGrid>
      <w:tr w14:paraId="6A06CA47">
        <w:tblPrEx>
          <w:tblCellMar>
            <w:top w:w="0" w:type="dxa"/>
            <w:left w:w="108" w:type="dxa"/>
            <w:bottom w:w="0" w:type="dxa"/>
            <w:right w:w="108" w:type="dxa"/>
          </w:tblCellMar>
        </w:tblPrEx>
        <w:tc>
          <w:tcPr>
            <w:tcW w:w="486" w:type="dxa"/>
            <w:tcBorders>
              <w:left w:val="nil"/>
              <w:bottom w:val="single" w:color="auto" w:sz="4" w:space="0"/>
              <w:right w:val="nil"/>
            </w:tcBorders>
          </w:tcPr>
          <w:p w14:paraId="29F5026B">
            <w:pPr>
              <w:rPr>
                <w:rFonts w:cs="Times New Roman"/>
                <w:b/>
              </w:rPr>
            </w:pPr>
            <w:r>
              <w:rPr>
                <w:rFonts w:cs="Times New Roman"/>
                <w:b/>
              </w:rPr>
              <w:t>N</w:t>
            </w:r>
            <w:r>
              <w:rPr>
                <w:rFonts w:cs="Times New Roman"/>
                <w:b/>
                <w:u w:val="single"/>
              </w:rPr>
              <w:t>o</w:t>
            </w:r>
          </w:p>
        </w:tc>
        <w:tc>
          <w:tcPr>
            <w:tcW w:w="1280" w:type="dxa"/>
            <w:tcBorders>
              <w:left w:val="nil"/>
              <w:bottom w:val="single" w:color="auto" w:sz="4" w:space="0"/>
              <w:right w:val="nil"/>
            </w:tcBorders>
          </w:tcPr>
          <w:p w14:paraId="6EF4754B">
            <w:pPr>
              <w:rPr>
                <w:rFonts w:cs="Times New Roman"/>
                <w:b/>
              </w:rPr>
            </w:pPr>
            <w:r>
              <w:rPr>
                <w:rFonts w:cs="Times New Roman"/>
                <w:b/>
              </w:rPr>
              <w:t>Vaccine</w:t>
            </w:r>
          </w:p>
        </w:tc>
        <w:tc>
          <w:tcPr>
            <w:tcW w:w="2212" w:type="dxa"/>
            <w:tcBorders>
              <w:left w:val="nil"/>
              <w:bottom w:val="single" w:color="auto" w:sz="4" w:space="0"/>
              <w:right w:val="nil"/>
            </w:tcBorders>
          </w:tcPr>
          <w:p w14:paraId="547B90CA">
            <w:pPr>
              <w:rPr>
                <w:rFonts w:cs="Times New Roman"/>
                <w:b/>
              </w:rPr>
            </w:pPr>
            <w:r>
              <w:rPr>
                <w:rFonts w:cs="Times New Roman"/>
                <w:b/>
              </w:rPr>
              <w:t>Groups</w:t>
            </w:r>
          </w:p>
        </w:tc>
        <w:tc>
          <w:tcPr>
            <w:tcW w:w="1612" w:type="dxa"/>
            <w:tcBorders>
              <w:left w:val="nil"/>
              <w:bottom w:val="single" w:color="auto" w:sz="4" w:space="0"/>
              <w:right w:val="nil"/>
            </w:tcBorders>
          </w:tcPr>
          <w:p w14:paraId="2D9128D4">
            <w:pPr>
              <w:rPr>
                <w:rFonts w:cs="Times New Roman"/>
                <w:b/>
              </w:rPr>
            </w:pPr>
            <w:r>
              <w:rPr>
                <w:rFonts w:cs="Times New Roman"/>
                <w:b/>
              </w:rPr>
              <w:t>Mean</w:t>
            </w:r>
          </w:p>
        </w:tc>
        <w:tc>
          <w:tcPr>
            <w:tcW w:w="2022" w:type="dxa"/>
            <w:tcBorders>
              <w:left w:val="nil"/>
              <w:bottom w:val="single" w:color="auto" w:sz="4" w:space="0"/>
              <w:right w:val="nil"/>
            </w:tcBorders>
          </w:tcPr>
          <w:p w14:paraId="5C051120">
            <w:pPr>
              <w:rPr>
                <w:rFonts w:cs="Times New Roman"/>
                <w:b/>
              </w:rPr>
            </w:pPr>
            <w:r>
              <w:rPr>
                <w:rFonts w:cs="Times New Roman"/>
                <w:b/>
              </w:rPr>
              <w:t xml:space="preserve">Coefficient </w:t>
            </w:r>
          </w:p>
        </w:tc>
        <w:tc>
          <w:tcPr>
            <w:tcW w:w="1244" w:type="dxa"/>
            <w:tcBorders>
              <w:left w:val="nil"/>
              <w:bottom w:val="single" w:color="auto" w:sz="4" w:space="0"/>
              <w:right w:val="nil"/>
            </w:tcBorders>
          </w:tcPr>
          <w:p w14:paraId="0702CFC0">
            <w:pPr>
              <w:rPr>
                <w:rFonts w:cs="Times New Roman"/>
                <w:b/>
              </w:rPr>
            </w:pPr>
            <w:r>
              <w:rPr>
                <w:rFonts w:cs="Times New Roman"/>
                <w:b/>
              </w:rPr>
              <w:t>P-value</w:t>
            </w:r>
          </w:p>
        </w:tc>
      </w:tr>
      <w:tr w14:paraId="41164F86">
        <w:tblPrEx>
          <w:tblCellMar>
            <w:top w:w="0" w:type="dxa"/>
            <w:left w:w="108" w:type="dxa"/>
            <w:bottom w:w="0" w:type="dxa"/>
            <w:right w:w="108" w:type="dxa"/>
          </w:tblCellMar>
        </w:tblPrEx>
        <w:tc>
          <w:tcPr>
            <w:tcW w:w="486" w:type="dxa"/>
            <w:vMerge w:val="restart"/>
            <w:tcBorders>
              <w:top w:val="nil"/>
              <w:left w:val="nil"/>
              <w:bottom w:val="nil"/>
              <w:right w:val="nil"/>
            </w:tcBorders>
          </w:tcPr>
          <w:p w14:paraId="7C20A01A">
            <w:pPr>
              <w:rPr>
                <w:rFonts w:cs="Times New Roman"/>
              </w:rPr>
            </w:pPr>
            <w:r>
              <w:rPr>
                <w:rFonts w:cs="Times New Roman"/>
              </w:rPr>
              <w:t>1</w:t>
            </w:r>
          </w:p>
        </w:tc>
        <w:tc>
          <w:tcPr>
            <w:tcW w:w="1280" w:type="dxa"/>
            <w:vMerge w:val="restart"/>
            <w:tcBorders>
              <w:top w:val="nil"/>
              <w:left w:val="nil"/>
              <w:bottom w:val="nil"/>
              <w:right w:val="nil"/>
            </w:tcBorders>
          </w:tcPr>
          <w:p w14:paraId="0952523B">
            <w:pPr>
              <w:rPr>
                <w:rFonts w:cs="Times New Roman"/>
              </w:rPr>
            </w:pPr>
            <w:r>
              <w:rPr>
                <w:rFonts w:cs="Times New Roman"/>
              </w:rPr>
              <w:t>HB1/LaSota</w:t>
            </w:r>
          </w:p>
        </w:tc>
        <w:tc>
          <w:tcPr>
            <w:tcW w:w="2212" w:type="dxa"/>
            <w:tcBorders>
              <w:top w:val="nil"/>
              <w:left w:val="nil"/>
              <w:bottom w:val="nil"/>
              <w:right w:val="nil"/>
            </w:tcBorders>
          </w:tcPr>
          <w:p w14:paraId="6EE67D90">
            <w:pPr>
              <w:rPr>
                <w:rFonts w:cs="Times New Roman"/>
              </w:rPr>
            </w:pPr>
            <w:r>
              <w:rPr>
                <w:rFonts w:cs="Times New Roman"/>
              </w:rPr>
              <w:t>Honey+vaccine</w:t>
            </w:r>
          </w:p>
        </w:tc>
        <w:tc>
          <w:tcPr>
            <w:tcW w:w="1612" w:type="dxa"/>
            <w:tcBorders>
              <w:top w:val="nil"/>
              <w:left w:val="nil"/>
              <w:bottom w:val="nil"/>
              <w:right w:val="nil"/>
            </w:tcBorders>
          </w:tcPr>
          <w:p w14:paraId="4169D081">
            <w:pPr>
              <w:rPr>
                <w:rFonts w:cs="Times New Roman"/>
              </w:rPr>
            </w:pPr>
            <w:r>
              <w:rPr>
                <w:rFonts w:cs="Times New Roman"/>
              </w:rPr>
              <w:t>112.84</w:t>
            </w:r>
          </w:p>
        </w:tc>
        <w:tc>
          <w:tcPr>
            <w:tcW w:w="2022" w:type="dxa"/>
            <w:tcBorders>
              <w:top w:val="nil"/>
              <w:left w:val="nil"/>
              <w:bottom w:val="nil"/>
              <w:right w:val="nil"/>
            </w:tcBorders>
          </w:tcPr>
          <w:p w14:paraId="0A6072F8">
            <w:pPr>
              <w:rPr>
                <w:rFonts w:cs="Times New Roman"/>
              </w:rPr>
            </w:pPr>
            <w:r>
              <w:rPr>
                <w:rFonts w:cs="Times New Roman"/>
              </w:rPr>
              <w:t>86.121</w:t>
            </w:r>
          </w:p>
        </w:tc>
        <w:tc>
          <w:tcPr>
            <w:tcW w:w="1244" w:type="dxa"/>
            <w:tcBorders>
              <w:top w:val="nil"/>
              <w:left w:val="nil"/>
              <w:bottom w:val="nil"/>
              <w:right w:val="nil"/>
            </w:tcBorders>
          </w:tcPr>
          <w:p w14:paraId="76E9C235">
            <w:pPr>
              <w:rPr>
                <w:rFonts w:cs="Times New Roman"/>
              </w:rPr>
            </w:pPr>
            <w:r>
              <w:rPr>
                <w:rFonts w:cs="Times New Roman"/>
              </w:rPr>
              <w:t>0.0000</w:t>
            </w:r>
          </w:p>
        </w:tc>
      </w:tr>
      <w:tr w14:paraId="76A107AE">
        <w:tblPrEx>
          <w:tblCellMar>
            <w:top w:w="0" w:type="dxa"/>
            <w:left w:w="108" w:type="dxa"/>
            <w:bottom w:w="0" w:type="dxa"/>
            <w:right w:w="108" w:type="dxa"/>
          </w:tblCellMar>
        </w:tblPrEx>
        <w:tc>
          <w:tcPr>
            <w:tcW w:w="486" w:type="dxa"/>
            <w:vMerge w:val="continue"/>
            <w:tcBorders>
              <w:top w:val="nil"/>
              <w:left w:val="nil"/>
              <w:bottom w:val="nil"/>
              <w:right w:val="nil"/>
            </w:tcBorders>
          </w:tcPr>
          <w:p w14:paraId="565FB040">
            <w:pPr>
              <w:rPr>
                <w:rFonts w:cs="Times New Roman"/>
              </w:rPr>
            </w:pPr>
          </w:p>
        </w:tc>
        <w:tc>
          <w:tcPr>
            <w:tcW w:w="1280" w:type="dxa"/>
            <w:vMerge w:val="continue"/>
            <w:tcBorders>
              <w:top w:val="nil"/>
              <w:left w:val="nil"/>
              <w:bottom w:val="nil"/>
              <w:right w:val="nil"/>
            </w:tcBorders>
          </w:tcPr>
          <w:p w14:paraId="70583036">
            <w:pPr>
              <w:rPr>
                <w:rFonts w:cs="Times New Roman"/>
              </w:rPr>
            </w:pPr>
          </w:p>
        </w:tc>
        <w:tc>
          <w:tcPr>
            <w:tcW w:w="2212" w:type="dxa"/>
            <w:tcBorders>
              <w:top w:val="nil"/>
              <w:left w:val="nil"/>
              <w:bottom w:val="nil"/>
              <w:right w:val="nil"/>
            </w:tcBorders>
          </w:tcPr>
          <w:p w14:paraId="7C13BBBF">
            <w:pPr>
              <w:rPr>
                <w:rFonts w:cs="Times New Roman"/>
              </w:rPr>
            </w:pPr>
            <w:r>
              <w:rPr>
                <w:rFonts w:cs="Times New Roman"/>
              </w:rPr>
              <w:t>Vaccine</w:t>
            </w:r>
          </w:p>
        </w:tc>
        <w:tc>
          <w:tcPr>
            <w:tcW w:w="1612" w:type="dxa"/>
            <w:tcBorders>
              <w:top w:val="nil"/>
              <w:left w:val="nil"/>
              <w:bottom w:val="nil"/>
              <w:right w:val="nil"/>
            </w:tcBorders>
          </w:tcPr>
          <w:p w14:paraId="132D5E4C">
            <w:pPr>
              <w:rPr>
                <w:rFonts w:cs="Times New Roman"/>
              </w:rPr>
            </w:pPr>
            <w:r>
              <w:rPr>
                <w:rFonts w:cs="Times New Roman"/>
              </w:rPr>
              <w:t>104.60</w:t>
            </w:r>
          </w:p>
        </w:tc>
        <w:tc>
          <w:tcPr>
            <w:tcW w:w="2022" w:type="dxa"/>
            <w:tcBorders>
              <w:top w:val="nil"/>
              <w:left w:val="nil"/>
              <w:bottom w:val="nil"/>
              <w:right w:val="nil"/>
            </w:tcBorders>
          </w:tcPr>
          <w:p w14:paraId="5E02722C">
            <w:pPr>
              <w:rPr>
                <w:rFonts w:cs="Times New Roman"/>
              </w:rPr>
            </w:pPr>
            <w:r>
              <w:rPr>
                <w:rFonts w:cs="Times New Roman"/>
              </w:rPr>
              <w:t>77.879</w:t>
            </w:r>
          </w:p>
        </w:tc>
        <w:tc>
          <w:tcPr>
            <w:tcW w:w="1244" w:type="dxa"/>
            <w:tcBorders>
              <w:top w:val="nil"/>
              <w:left w:val="nil"/>
              <w:bottom w:val="nil"/>
              <w:right w:val="nil"/>
            </w:tcBorders>
          </w:tcPr>
          <w:p w14:paraId="6A2C6961">
            <w:pPr>
              <w:rPr>
                <w:rFonts w:cs="Times New Roman"/>
              </w:rPr>
            </w:pPr>
            <w:r>
              <w:rPr>
                <w:rFonts w:cs="Times New Roman"/>
              </w:rPr>
              <w:t>0.0001</w:t>
            </w:r>
          </w:p>
        </w:tc>
      </w:tr>
      <w:tr w14:paraId="69F30402">
        <w:tblPrEx>
          <w:tblCellMar>
            <w:top w:w="0" w:type="dxa"/>
            <w:left w:w="108" w:type="dxa"/>
            <w:bottom w:w="0" w:type="dxa"/>
            <w:right w:w="108" w:type="dxa"/>
          </w:tblCellMar>
        </w:tblPrEx>
        <w:tc>
          <w:tcPr>
            <w:tcW w:w="486" w:type="dxa"/>
            <w:vMerge w:val="restart"/>
            <w:tcBorders>
              <w:top w:val="nil"/>
              <w:left w:val="nil"/>
              <w:bottom w:val="nil"/>
              <w:right w:val="nil"/>
            </w:tcBorders>
          </w:tcPr>
          <w:p w14:paraId="1EB264EB">
            <w:pPr>
              <w:rPr>
                <w:rFonts w:cs="Times New Roman"/>
                <w:b/>
              </w:rPr>
            </w:pPr>
            <w:r>
              <w:rPr>
                <w:rFonts w:cs="Times New Roman"/>
                <w:b/>
              </w:rPr>
              <w:t>2</w:t>
            </w:r>
          </w:p>
        </w:tc>
        <w:tc>
          <w:tcPr>
            <w:tcW w:w="1280" w:type="dxa"/>
            <w:vMerge w:val="restart"/>
            <w:tcBorders>
              <w:top w:val="nil"/>
              <w:left w:val="nil"/>
              <w:bottom w:val="nil"/>
              <w:right w:val="nil"/>
            </w:tcBorders>
          </w:tcPr>
          <w:p w14:paraId="3B789F52">
            <w:pPr>
              <w:rPr>
                <w:rFonts w:cs="Times New Roman"/>
              </w:rPr>
            </w:pPr>
            <w:r>
              <w:rPr>
                <w:rFonts w:cs="Times New Roman"/>
              </w:rPr>
              <w:t>NCTH</w:t>
            </w:r>
          </w:p>
        </w:tc>
        <w:tc>
          <w:tcPr>
            <w:tcW w:w="2212" w:type="dxa"/>
            <w:tcBorders>
              <w:top w:val="nil"/>
              <w:left w:val="nil"/>
              <w:bottom w:val="nil"/>
              <w:right w:val="nil"/>
            </w:tcBorders>
          </w:tcPr>
          <w:p w14:paraId="09625662">
            <w:pPr>
              <w:rPr>
                <w:rFonts w:cs="Times New Roman"/>
              </w:rPr>
            </w:pPr>
            <w:r>
              <w:rPr>
                <w:rFonts w:cs="Times New Roman"/>
              </w:rPr>
              <w:t>Honey + vaccine</w:t>
            </w:r>
          </w:p>
        </w:tc>
        <w:tc>
          <w:tcPr>
            <w:tcW w:w="1612" w:type="dxa"/>
            <w:tcBorders>
              <w:top w:val="nil"/>
              <w:left w:val="nil"/>
              <w:bottom w:val="nil"/>
              <w:right w:val="nil"/>
            </w:tcBorders>
          </w:tcPr>
          <w:p w14:paraId="27FF8964">
            <w:pPr>
              <w:rPr>
                <w:rFonts w:cs="Times New Roman"/>
              </w:rPr>
            </w:pPr>
            <w:r>
              <w:rPr>
                <w:rFonts w:cs="Times New Roman"/>
              </w:rPr>
              <w:t>115.125</w:t>
            </w:r>
          </w:p>
        </w:tc>
        <w:tc>
          <w:tcPr>
            <w:tcW w:w="2022" w:type="dxa"/>
            <w:tcBorders>
              <w:top w:val="nil"/>
              <w:left w:val="nil"/>
              <w:bottom w:val="nil"/>
              <w:right w:val="nil"/>
            </w:tcBorders>
          </w:tcPr>
          <w:p w14:paraId="118450BB">
            <w:pPr>
              <w:rPr>
                <w:rFonts w:cs="Times New Roman"/>
              </w:rPr>
            </w:pPr>
            <w:r>
              <w:rPr>
                <w:rFonts w:cs="Times New Roman"/>
              </w:rPr>
              <w:t>86.121</w:t>
            </w:r>
          </w:p>
        </w:tc>
        <w:tc>
          <w:tcPr>
            <w:tcW w:w="1244" w:type="dxa"/>
            <w:tcBorders>
              <w:top w:val="nil"/>
              <w:left w:val="nil"/>
              <w:bottom w:val="nil"/>
              <w:right w:val="nil"/>
            </w:tcBorders>
          </w:tcPr>
          <w:p w14:paraId="1C553536">
            <w:pPr>
              <w:rPr>
                <w:rFonts w:cs="Times New Roman"/>
              </w:rPr>
            </w:pPr>
            <w:r>
              <w:rPr>
                <w:rFonts w:cs="Times New Roman"/>
              </w:rPr>
              <w:t>0.0004</w:t>
            </w:r>
          </w:p>
        </w:tc>
      </w:tr>
      <w:tr w14:paraId="27C557B0">
        <w:tblPrEx>
          <w:tblCellMar>
            <w:top w:w="0" w:type="dxa"/>
            <w:left w:w="108" w:type="dxa"/>
            <w:bottom w:w="0" w:type="dxa"/>
            <w:right w:w="108" w:type="dxa"/>
          </w:tblCellMar>
        </w:tblPrEx>
        <w:tc>
          <w:tcPr>
            <w:tcW w:w="486" w:type="dxa"/>
            <w:vMerge w:val="continue"/>
            <w:tcBorders>
              <w:top w:val="nil"/>
              <w:left w:val="nil"/>
              <w:bottom w:val="nil"/>
              <w:right w:val="nil"/>
            </w:tcBorders>
          </w:tcPr>
          <w:p w14:paraId="2E7A61FB">
            <w:pPr>
              <w:rPr>
                <w:rFonts w:cs="Times New Roman"/>
                <w:b/>
              </w:rPr>
            </w:pPr>
          </w:p>
        </w:tc>
        <w:tc>
          <w:tcPr>
            <w:tcW w:w="1280" w:type="dxa"/>
            <w:vMerge w:val="continue"/>
            <w:tcBorders>
              <w:top w:val="nil"/>
              <w:left w:val="nil"/>
              <w:bottom w:val="nil"/>
              <w:right w:val="nil"/>
            </w:tcBorders>
          </w:tcPr>
          <w:p w14:paraId="3A32083C">
            <w:pPr>
              <w:rPr>
                <w:rFonts w:cs="Times New Roman"/>
              </w:rPr>
            </w:pPr>
          </w:p>
        </w:tc>
        <w:tc>
          <w:tcPr>
            <w:tcW w:w="2212" w:type="dxa"/>
            <w:tcBorders>
              <w:top w:val="nil"/>
              <w:left w:val="nil"/>
              <w:bottom w:val="nil"/>
              <w:right w:val="nil"/>
            </w:tcBorders>
          </w:tcPr>
          <w:p w14:paraId="08729C2C">
            <w:pPr>
              <w:rPr>
                <w:rFonts w:cs="Times New Roman"/>
              </w:rPr>
            </w:pPr>
            <w:r>
              <w:rPr>
                <w:rFonts w:cs="Times New Roman"/>
              </w:rPr>
              <w:t>Vaccine</w:t>
            </w:r>
          </w:p>
        </w:tc>
        <w:tc>
          <w:tcPr>
            <w:tcW w:w="1612" w:type="dxa"/>
            <w:tcBorders>
              <w:top w:val="nil"/>
              <w:left w:val="nil"/>
              <w:bottom w:val="nil"/>
              <w:right w:val="nil"/>
            </w:tcBorders>
          </w:tcPr>
          <w:p w14:paraId="430A47F4">
            <w:pPr>
              <w:rPr>
                <w:rFonts w:cs="Times New Roman"/>
              </w:rPr>
            </w:pPr>
            <w:r>
              <w:rPr>
                <w:rFonts w:cs="Times New Roman"/>
              </w:rPr>
              <w:t>59.06</w:t>
            </w:r>
          </w:p>
        </w:tc>
        <w:tc>
          <w:tcPr>
            <w:tcW w:w="2022" w:type="dxa"/>
            <w:tcBorders>
              <w:top w:val="nil"/>
              <w:left w:val="nil"/>
              <w:bottom w:val="nil"/>
              <w:right w:val="nil"/>
            </w:tcBorders>
          </w:tcPr>
          <w:p w14:paraId="2920D7F7">
            <w:pPr>
              <w:rPr>
                <w:rFonts w:cs="Times New Roman"/>
              </w:rPr>
            </w:pPr>
            <w:r>
              <w:rPr>
                <w:rFonts w:cs="Times New Roman"/>
              </w:rPr>
              <w:t>32.333</w:t>
            </w:r>
          </w:p>
        </w:tc>
        <w:tc>
          <w:tcPr>
            <w:tcW w:w="1244" w:type="dxa"/>
            <w:tcBorders>
              <w:top w:val="nil"/>
              <w:left w:val="nil"/>
              <w:bottom w:val="nil"/>
              <w:right w:val="nil"/>
            </w:tcBorders>
          </w:tcPr>
          <w:p w14:paraId="51FF12DC">
            <w:pPr>
              <w:rPr>
                <w:rFonts w:cs="Times New Roman"/>
              </w:rPr>
            </w:pPr>
            <w:r>
              <w:rPr>
                <w:rFonts w:cs="Times New Roman"/>
              </w:rPr>
              <w:t>0.000</w:t>
            </w:r>
          </w:p>
        </w:tc>
      </w:tr>
      <w:tr w14:paraId="21C2C41E">
        <w:tblPrEx>
          <w:tblCellMar>
            <w:top w:w="0" w:type="dxa"/>
            <w:left w:w="108" w:type="dxa"/>
            <w:bottom w:w="0" w:type="dxa"/>
            <w:right w:w="108" w:type="dxa"/>
          </w:tblCellMar>
        </w:tblPrEx>
        <w:trPr>
          <w:trHeight w:val="312" w:hRule="atLeast"/>
        </w:trPr>
        <w:tc>
          <w:tcPr>
            <w:tcW w:w="486" w:type="dxa"/>
            <w:vMerge w:val="restart"/>
            <w:tcBorders>
              <w:top w:val="nil"/>
              <w:left w:val="nil"/>
              <w:right w:val="nil"/>
            </w:tcBorders>
          </w:tcPr>
          <w:p w14:paraId="195754C8">
            <w:pPr>
              <w:rPr>
                <w:rFonts w:cs="Times New Roman"/>
              </w:rPr>
            </w:pPr>
            <w:r>
              <w:rPr>
                <w:rFonts w:cs="Times New Roman"/>
              </w:rPr>
              <w:t>3</w:t>
            </w:r>
          </w:p>
        </w:tc>
        <w:tc>
          <w:tcPr>
            <w:tcW w:w="1280" w:type="dxa"/>
            <w:vMerge w:val="restart"/>
            <w:tcBorders>
              <w:top w:val="nil"/>
              <w:left w:val="nil"/>
              <w:right w:val="nil"/>
            </w:tcBorders>
          </w:tcPr>
          <w:p w14:paraId="0A2D3A8E">
            <w:pPr>
              <w:rPr>
                <w:rFonts w:cs="Times New Roman"/>
              </w:rPr>
            </w:pPr>
            <w:r>
              <w:rPr>
                <w:rFonts w:cs="Times New Roman"/>
              </w:rPr>
              <w:t>Non -vaccinated</w:t>
            </w:r>
          </w:p>
        </w:tc>
        <w:tc>
          <w:tcPr>
            <w:tcW w:w="2212" w:type="dxa"/>
            <w:tcBorders>
              <w:top w:val="nil"/>
              <w:left w:val="nil"/>
              <w:bottom w:val="nil"/>
              <w:right w:val="nil"/>
            </w:tcBorders>
          </w:tcPr>
          <w:p w14:paraId="6DE45429">
            <w:pPr>
              <w:rPr>
                <w:rFonts w:cs="Times New Roman"/>
              </w:rPr>
            </w:pPr>
            <w:r>
              <w:rPr>
                <w:rFonts w:cs="Times New Roman"/>
              </w:rPr>
              <w:t>Honey only</w:t>
            </w:r>
          </w:p>
        </w:tc>
        <w:tc>
          <w:tcPr>
            <w:tcW w:w="1612" w:type="dxa"/>
            <w:tcBorders>
              <w:top w:val="nil"/>
              <w:left w:val="nil"/>
              <w:bottom w:val="nil"/>
              <w:right w:val="nil"/>
            </w:tcBorders>
          </w:tcPr>
          <w:p w14:paraId="61BDF449">
            <w:pPr>
              <w:rPr>
                <w:rFonts w:cs="Times New Roman"/>
              </w:rPr>
            </w:pPr>
            <w:r>
              <w:rPr>
                <w:rFonts w:cs="Times New Roman"/>
              </w:rPr>
              <w:t>32.667</w:t>
            </w:r>
          </w:p>
        </w:tc>
        <w:tc>
          <w:tcPr>
            <w:tcW w:w="2022" w:type="dxa"/>
            <w:tcBorders>
              <w:top w:val="nil"/>
              <w:left w:val="nil"/>
              <w:bottom w:val="nil"/>
              <w:right w:val="nil"/>
            </w:tcBorders>
          </w:tcPr>
          <w:p w14:paraId="688F2298">
            <w:pPr>
              <w:rPr>
                <w:rFonts w:cs="Times New Roman"/>
              </w:rPr>
            </w:pPr>
            <w:r>
              <w:rPr>
                <w:rFonts w:cs="Times New Roman"/>
              </w:rPr>
              <w:t>5.385</w:t>
            </w:r>
          </w:p>
        </w:tc>
        <w:tc>
          <w:tcPr>
            <w:tcW w:w="1244" w:type="dxa"/>
            <w:tcBorders>
              <w:top w:val="nil"/>
              <w:left w:val="nil"/>
              <w:bottom w:val="nil"/>
              <w:right w:val="nil"/>
            </w:tcBorders>
          </w:tcPr>
          <w:p w14:paraId="2217C730">
            <w:pPr>
              <w:rPr>
                <w:rFonts w:cs="Times New Roman"/>
              </w:rPr>
            </w:pPr>
            <w:r>
              <w:rPr>
                <w:rFonts w:cs="Times New Roman"/>
              </w:rPr>
              <w:t>0.5134</w:t>
            </w:r>
          </w:p>
        </w:tc>
      </w:tr>
      <w:tr w14:paraId="0C6A508E">
        <w:tblPrEx>
          <w:tblCellMar>
            <w:top w:w="0" w:type="dxa"/>
            <w:left w:w="108" w:type="dxa"/>
            <w:bottom w:w="0" w:type="dxa"/>
            <w:right w:w="108" w:type="dxa"/>
          </w:tblCellMar>
        </w:tblPrEx>
        <w:trPr>
          <w:trHeight w:val="445" w:hRule="atLeast"/>
        </w:trPr>
        <w:tc>
          <w:tcPr>
            <w:tcW w:w="486" w:type="dxa"/>
            <w:vMerge w:val="continue"/>
            <w:tcBorders>
              <w:left w:val="nil"/>
              <w:right w:val="nil"/>
            </w:tcBorders>
          </w:tcPr>
          <w:p w14:paraId="69C3E6A1">
            <w:pPr>
              <w:rPr>
                <w:rFonts w:cs="Times New Roman"/>
              </w:rPr>
            </w:pPr>
          </w:p>
        </w:tc>
        <w:tc>
          <w:tcPr>
            <w:tcW w:w="1280" w:type="dxa"/>
            <w:vMerge w:val="continue"/>
            <w:tcBorders>
              <w:left w:val="nil"/>
              <w:right w:val="nil"/>
            </w:tcBorders>
          </w:tcPr>
          <w:p w14:paraId="419E5D01">
            <w:pPr>
              <w:rPr>
                <w:rFonts w:cs="Times New Roman"/>
              </w:rPr>
            </w:pPr>
          </w:p>
        </w:tc>
        <w:tc>
          <w:tcPr>
            <w:tcW w:w="2212" w:type="dxa"/>
            <w:tcBorders>
              <w:top w:val="nil"/>
              <w:left w:val="nil"/>
              <w:right w:val="nil"/>
            </w:tcBorders>
          </w:tcPr>
          <w:p w14:paraId="6FFCB010">
            <w:pPr>
              <w:rPr>
                <w:rFonts w:cs="Times New Roman"/>
              </w:rPr>
            </w:pPr>
            <w:r>
              <w:rPr>
                <w:rFonts w:cs="Times New Roman"/>
              </w:rPr>
              <w:t xml:space="preserve">Control </w:t>
            </w:r>
          </w:p>
        </w:tc>
        <w:tc>
          <w:tcPr>
            <w:tcW w:w="1612" w:type="dxa"/>
            <w:tcBorders>
              <w:top w:val="nil"/>
              <w:left w:val="nil"/>
              <w:bottom w:val="nil"/>
              <w:right w:val="nil"/>
            </w:tcBorders>
          </w:tcPr>
          <w:p w14:paraId="725F6BC8">
            <w:pPr>
              <w:rPr>
                <w:rFonts w:cs="Times New Roman"/>
              </w:rPr>
            </w:pPr>
            <w:r>
              <w:rPr>
                <w:rFonts w:cs="Times New Roman"/>
              </w:rPr>
              <w:t>26.72</w:t>
            </w:r>
          </w:p>
        </w:tc>
        <w:tc>
          <w:tcPr>
            <w:tcW w:w="2022" w:type="dxa"/>
            <w:tcBorders>
              <w:top w:val="nil"/>
              <w:left w:val="nil"/>
              <w:right w:val="nil"/>
            </w:tcBorders>
          </w:tcPr>
          <w:p w14:paraId="0153A57D">
            <w:pPr>
              <w:rPr>
                <w:rFonts w:cs="Times New Roman"/>
              </w:rPr>
            </w:pPr>
            <w:r>
              <w:rPr>
                <w:rFonts w:cs="Times New Roman"/>
              </w:rPr>
              <w:t>Ref</w:t>
            </w:r>
          </w:p>
        </w:tc>
        <w:tc>
          <w:tcPr>
            <w:tcW w:w="1244" w:type="dxa"/>
            <w:tcBorders>
              <w:top w:val="nil"/>
              <w:left w:val="nil"/>
              <w:right w:val="nil"/>
            </w:tcBorders>
          </w:tcPr>
          <w:p w14:paraId="33A51770">
            <w:pPr>
              <w:rPr>
                <w:rFonts w:cs="Times New Roman"/>
              </w:rPr>
            </w:pPr>
          </w:p>
        </w:tc>
      </w:tr>
    </w:tbl>
    <w:p w14:paraId="4300F63A">
      <w:pPr>
        <w:spacing w:line="240" w:lineRule="auto"/>
        <w:rPr>
          <w:color w:val="FF0000"/>
        </w:rPr>
      </w:pPr>
    </w:p>
    <w:p w14:paraId="24BBAAA7">
      <w:r>
        <w:t>The honey with the vaccinated groups exhibited the highest rise in anti-NDV antibody titer on this experimental activity. The addition of honey as a feed in the vaccine had increased the antibody titer significantly in both HB1/LaSota and thermostable vaccines of poultry (P&lt;0.05) (table 7). The mean antibody titer in honey fed, LaSota/HB1 and NCTH vaccinated groups were 112.8 and 115.1 respectively, whereas the mean titer in LaSota/HB1 and NCTH vaccinated only groups were only 104.6 and 59.06.</w:t>
      </w:r>
    </w:p>
    <w:p w14:paraId="64E5B49E">
      <w:r>
        <w:t>The mean NDV titer in both honey fed, LaSota/HB1 and NCTH vaccinated groups increased by 86.1 times the control group. The vaccinated only groups mean antibody titer increased by 77 and 32 in the LaSota/HB1 and NCTH vaccinated groups respectively (Table 7).</w:t>
      </w:r>
    </w:p>
    <w:p w14:paraId="70DD0F1E">
      <w:pPr>
        <w:spacing w:line="240" w:lineRule="auto"/>
      </w:pPr>
    </w:p>
    <w:p w14:paraId="164B9006">
      <w:pPr>
        <w:pStyle w:val="3"/>
        <w:spacing w:before="0" w:after="0"/>
      </w:pPr>
      <w:bookmarkStart w:id="88" w:name="_Toc168523146"/>
      <w:bookmarkStart w:id="89" w:name="_Toc168390162"/>
      <w:bookmarkStart w:id="90" w:name="_Toc170937982"/>
      <w:r>
        <w:t>4.2. Cell Mediated Immune Response</w:t>
      </w:r>
      <w:bookmarkEnd w:id="88"/>
      <w:bookmarkEnd w:id="89"/>
      <w:bookmarkEnd w:id="90"/>
    </w:p>
    <w:p w14:paraId="6EDE6A21">
      <w:pPr>
        <w:spacing w:line="240" w:lineRule="auto"/>
        <w:rPr>
          <w:b/>
        </w:rPr>
      </w:pPr>
    </w:p>
    <w:p w14:paraId="7C8A4DB4">
      <w:pPr>
        <w:pStyle w:val="4"/>
        <w:spacing w:before="0" w:after="0"/>
      </w:pPr>
      <w:bookmarkStart w:id="91" w:name="_Toc168523147"/>
      <w:bookmarkStart w:id="92" w:name="_Toc170937983"/>
      <w:bookmarkStart w:id="93" w:name="_Toc168390163"/>
      <w:r>
        <w:t>4.2.1. Cell proliferation result</w:t>
      </w:r>
      <w:bookmarkEnd w:id="91"/>
      <w:bookmarkEnd w:id="92"/>
      <w:bookmarkEnd w:id="93"/>
    </w:p>
    <w:p w14:paraId="7C01E40D">
      <w:pPr>
        <w:spacing w:line="240" w:lineRule="auto"/>
      </w:pPr>
    </w:p>
    <w:p w14:paraId="10FBA6C1">
      <w:r>
        <w:t>Lymphocyte proliferation assay (MTT colorimetric assay) was used to assess cell mediated immunity by using the cells sampled at 7, 21, 35 and 49</w:t>
      </w:r>
      <w:r>
        <w:rPr>
          <w:vertAlign w:val="superscript"/>
        </w:rPr>
        <w:t>th</w:t>
      </w:r>
      <w:r>
        <w:t xml:space="preserve"> (post-challenge) days of experiment. The mean stimulation index of the cells and the mean absorbance level at Optical Density 560 (OD560) was determined by dividing the average mean OD value of the cultured cells (test group) to the average mean OD value of the control (</w:t>
      </w:r>
      <w:r>
        <w:rPr>
          <w:rFonts w:eastAsia="Times New Roman" w:cs="Times New Roman"/>
          <w:szCs w:val="24"/>
        </w:rPr>
        <w:t xml:space="preserve">Zhao </w:t>
      </w:r>
      <w:r>
        <w:rPr>
          <w:rFonts w:eastAsia="Times New Roman" w:cs="Times New Roman"/>
          <w:i/>
          <w:szCs w:val="24"/>
        </w:rPr>
        <w:t>et al</w:t>
      </w:r>
      <w:r>
        <w:rPr>
          <w:rFonts w:eastAsia="Times New Roman" w:cs="Times New Roman"/>
          <w:szCs w:val="24"/>
        </w:rPr>
        <w:t>., 2012)</w:t>
      </w:r>
      <w:r>
        <w:t xml:space="preserve"> at each sampling and in each group. Accordingly the average mean value was 0.044. Full informations were indicated in the tables below (Table 8 and 9).</w:t>
      </w:r>
    </w:p>
    <w:p w14:paraId="48454FF1">
      <w:pPr>
        <w:spacing w:line="240" w:lineRule="auto"/>
      </w:pPr>
    </w:p>
    <w:p w14:paraId="63E2B790">
      <w:pPr>
        <w:pStyle w:val="5"/>
        <w:spacing w:before="0"/>
        <w:rPr>
          <w:rFonts w:ascii="Times New Roman" w:hAnsi="Times New Roman" w:cs="Times New Roman"/>
        </w:rPr>
      </w:pPr>
      <w:r>
        <w:rPr>
          <w:rFonts w:ascii="Times New Roman" w:hAnsi="Times New Roman" w:cs="Times New Roman"/>
        </w:rPr>
        <w:t>HB1/LaSota and NCTH vaccines with parasite</w:t>
      </w:r>
    </w:p>
    <w:p w14:paraId="02C13505">
      <w:pPr>
        <w:spacing w:line="240" w:lineRule="auto"/>
        <w:rPr>
          <w:rFonts w:cs="Times New Roman"/>
        </w:rPr>
      </w:pPr>
    </w:p>
    <w:p w14:paraId="7AB9D868">
      <w:pPr>
        <w:rPr>
          <w:rFonts w:cs="Times New Roman"/>
          <w:szCs w:val="24"/>
        </w:rPr>
      </w:pPr>
      <w:r>
        <w:t xml:space="preserve">The mean absorbance of the cells at optical density 560nm (OD560) and the mean stimulation index (SI) of the cells in the parasite infected vaccinated group was 0.098 and </w:t>
      </w:r>
      <w:r>
        <w:rPr>
          <w:rFonts w:cs="Times New Roman"/>
          <w:szCs w:val="24"/>
        </w:rPr>
        <w:t>2.23 respectively.</w:t>
      </w:r>
      <w:r>
        <w:t xml:space="preserve"> It was significantly higher (P&lt;0.05) as compared to the control group which had the mean absorbance level and SI of </w:t>
      </w:r>
      <w:r>
        <w:rPr>
          <w:rFonts w:cs="Times New Roman"/>
          <w:szCs w:val="24"/>
        </w:rPr>
        <w:t>0.064 and 1.45 respectively. HB1/LaSota vaccinated and infected group also has higher SI and mean absorbance level as compared to the parasite infected only group, which had the SI and mean absorbance of 1.27 and 0.056 respectively that was even lower than the control group (Table 8).</w:t>
      </w:r>
    </w:p>
    <w:p w14:paraId="6F6C5FB6">
      <w:pPr>
        <w:spacing w:line="240" w:lineRule="auto"/>
        <w:rPr>
          <w:rFonts w:cs="Times New Roman"/>
          <w:szCs w:val="24"/>
        </w:rPr>
      </w:pPr>
    </w:p>
    <w:p w14:paraId="27395C31">
      <w:pPr>
        <w:rPr>
          <w:rFonts w:cs="Times New Roman"/>
          <w:szCs w:val="24"/>
        </w:rPr>
      </w:pPr>
      <w:r>
        <w:rPr>
          <w:rFonts w:cs="Times New Roman"/>
          <w:szCs w:val="24"/>
        </w:rPr>
        <w:t>The HB1/LaSota vaccinated group also had significantly high mean absorbance and stimulation index (0.104 and 2.34 respectively) as compared to the control group, which had non-significant absorbance level. The HB1/LaSota vaccinated chickens had greater amount of cells and its absorbance greater by 0.034 times to the control group (Table 8).</w:t>
      </w:r>
    </w:p>
    <w:p w14:paraId="741888D9">
      <w:pPr>
        <w:spacing w:line="240" w:lineRule="auto"/>
        <w:rPr>
          <w:rFonts w:cs="Times New Roman"/>
          <w:szCs w:val="24"/>
        </w:rPr>
      </w:pPr>
    </w:p>
    <w:p w14:paraId="2F353901">
      <w:pPr>
        <w:rPr>
          <w:rFonts w:cs="Times New Roman"/>
        </w:rPr>
      </w:pPr>
      <w:r>
        <w:rPr>
          <w:rFonts w:cs="Times New Roman"/>
        </w:rPr>
        <w:t>Similarly the</w:t>
      </w:r>
      <w:r>
        <w:rPr>
          <w:rFonts w:cs="Times New Roman"/>
          <w:color w:val="FF0000"/>
        </w:rPr>
        <w:t xml:space="preserve"> </w:t>
      </w:r>
      <w:r>
        <w:rPr>
          <w:rFonts w:cs="Times New Roman"/>
        </w:rPr>
        <w:t xml:space="preserve">mean absorbance levels of the cells proliferated by thermostable vaccine with </w:t>
      </w:r>
      <w:r>
        <w:rPr>
          <w:rFonts w:cs="Times New Roman"/>
          <w:i/>
        </w:rPr>
        <w:t>A.galli</w:t>
      </w:r>
      <w:r>
        <w:rPr>
          <w:rFonts w:cs="Times New Roman"/>
        </w:rPr>
        <w:t xml:space="preserve"> was significantly higher (P&lt;0.05) with absorbance and SI of </w:t>
      </w:r>
      <w:r>
        <w:rPr>
          <w:rFonts w:cs="Times New Roman"/>
          <w:color w:val="000000"/>
        </w:rPr>
        <w:t xml:space="preserve">0.17 and </w:t>
      </w:r>
      <w:r>
        <w:rPr>
          <w:rFonts w:cs="Times New Roman"/>
          <w:szCs w:val="24"/>
        </w:rPr>
        <w:t>3.75 (the highest in all experimental group) respectively relative to the non-significant absorbance level of control group (</w:t>
      </w:r>
      <w:r>
        <w:rPr>
          <w:rFonts w:cs="Times New Roman"/>
        </w:rPr>
        <w:t>0.064). The proliferated and viable cells absorbance was higher than the control by 0.036 times values.</w:t>
      </w:r>
    </w:p>
    <w:p w14:paraId="4ABAD61E">
      <w:pPr>
        <w:spacing w:line="240" w:lineRule="auto"/>
      </w:pPr>
    </w:p>
    <w:p w14:paraId="16897321">
      <w:r>
        <w:t xml:space="preserve">The cells which were live and proliferated in the thermostable only vaccinated chickens had the mean absorbance value of 0.099 and the mean SI value of </w:t>
      </w:r>
      <w:r>
        <w:rPr>
          <w:rFonts w:cs="Times New Roman"/>
          <w:szCs w:val="24"/>
        </w:rPr>
        <w:t>2.26, which was significantly greater (P&lt;0.05) than the control unvaccinated group. However the parasite infected group has low mean absorbance of cells (low viable cells) and SI values compared to the control. It is non-significant (P&gt;0.05)</w:t>
      </w:r>
      <w:r>
        <w:t>.</w:t>
      </w:r>
      <w:r>
        <w:rPr>
          <w:rFonts w:cs="Times New Roman"/>
          <w:szCs w:val="24"/>
        </w:rPr>
        <w:t xml:space="preserve"> </w:t>
      </w:r>
    </w:p>
    <w:p w14:paraId="07B4844B">
      <w:pPr>
        <w:spacing w:line="240" w:lineRule="auto"/>
      </w:pPr>
    </w:p>
    <w:p w14:paraId="24A84672">
      <w:pPr>
        <w:pStyle w:val="10"/>
        <w:spacing w:after="0" w:line="360" w:lineRule="auto"/>
        <w:jc w:val="left"/>
        <w:rPr>
          <w:color w:val="auto"/>
          <w:sz w:val="24"/>
          <w:szCs w:val="24"/>
        </w:rPr>
      </w:pPr>
      <w:bookmarkStart w:id="94" w:name="_Toc168574023"/>
      <w:r>
        <w:rPr>
          <w:color w:val="auto"/>
          <w:sz w:val="24"/>
          <w:szCs w:val="24"/>
        </w:rPr>
        <w:t xml:space="preserve">Table </w:t>
      </w:r>
      <w:r>
        <w:rPr>
          <w:color w:val="auto"/>
          <w:sz w:val="24"/>
          <w:szCs w:val="24"/>
        </w:rPr>
        <w:fldChar w:fldCharType="begin"/>
      </w:r>
      <w:r>
        <w:rPr>
          <w:color w:val="auto"/>
          <w:sz w:val="24"/>
          <w:szCs w:val="24"/>
        </w:rPr>
        <w:instrText xml:space="preserve"> SEQ Table \* ARABIC </w:instrText>
      </w:r>
      <w:r>
        <w:rPr>
          <w:color w:val="auto"/>
          <w:sz w:val="24"/>
          <w:szCs w:val="24"/>
        </w:rPr>
        <w:fldChar w:fldCharType="separate"/>
      </w:r>
      <w:r>
        <w:rPr>
          <w:color w:val="auto"/>
          <w:sz w:val="24"/>
          <w:szCs w:val="24"/>
        </w:rPr>
        <w:t>8</w:t>
      </w:r>
      <w:r>
        <w:rPr>
          <w:color w:val="auto"/>
          <w:sz w:val="24"/>
          <w:szCs w:val="24"/>
        </w:rPr>
        <w:fldChar w:fldCharType="end"/>
      </w:r>
      <w:r>
        <w:rPr>
          <w:color w:val="auto"/>
          <w:sz w:val="24"/>
          <w:szCs w:val="24"/>
        </w:rPr>
        <w:t xml:space="preserve">: </w:t>
      </w:r>
      <w:r>
        <w:rPr>
          <w:b w:val="0"/>
          <w:color w:val="auto"/>
          <w:sz w:val="24"/>
          <w:szCs w:val="24"/>
        </w:rPr>
        <w:t xml:space="preserve">The effect of </w:t>
      </w:r>
      <w:r>
        <w:rPr>
          <w:b w:val="0"/>
          <w:i/>
          <w:color w:val="auto"/>
          <w:sz w:val="24"/>
          <w:szCs w:val="24"/>
        </w:rPr>
        <w:t>A.galli</w:t>
      </w:r>
      <w:r>
        <w:rPr>
          <w:b w:val="0"/>
          <w:color w:val="auto"/>
          <w:sz w:val="24"/>
          <w:szCs w:val="24"/>
        </w:rPr>
        <w:t xml:space="preserve"> on cellular immune response of HB1/LaSota and NCTH Vaccines</w:t>
      </w:r>
      <w:bookmarkEnd w:id="94"/>
    </w:p>
    <w:tbl>
      <w:tblPr>
        <w:tblStyle w:val="8"/>
        <w:tblW w:w="8930" w:type="dxa"/>
        <w:tblInd w:w="0" w:type="dxa"/>
        <w:tblLayout w:type="fixed"/>
        <w:tblCellMar>
          <w:top w:w="0" w:type="dxa"/>
          <w:left w:w="108" w:type="dxa"/>
          <w:bottom w:w="0" w:type="dxa"/>
          <w:right w:w="108" w:type="dxa"/>
        </w:tblCellMar>
      </w:tblPr>
      <w:tblGrid>
        <w:gridCol w:w="1242"/>
        <w:gridCol w:w="1843"/>
        <w:gridCol w:w="1276"/>
        <w:gridCol w:w="1559"/>
        <w:gridCol w:w="1276"/>
        <w:gridCol w:w="1734"/>
      </w:tblGrid>
      <w:tr w14:paraId="2E0D2577">
        <w:tblPrEx>
          <w:tblCellMar>
            <w:top w:w="0" w:type="dxa"/>
            <w:left w:w="108" w:type="dxa"/>
            <w:bottom w:w="0" w:type="dxa"/>
            <w:right w:w="108" w:type="dxa"/>
          </w:tblCellMar>
        </w:tblPrEx>
        <w:tc>
          <w:tcPr>
            <w:tcW w:w="1242" w:type="dxa"/>
            <w:tcBorders>
              <w:left w:val="nil"/>
              <w:bottom w:val="single" w:color="auto" w:sz="4" w:space="0"/>
              <w:right w:val="nil"/>
            </w:tcBorders>
          </w:tcPr>
          <w:p w14:paraId="647462D0">
            <w:pPr>
              <w:rPr>
                <w:rFonts w:cs="Times New Roman"/>
                <w:b/>
              </w:rPr>
            </w:pPr>
            <w:r>
              <w:rPr>
                <w:rFonts w:cs="Times New Roman"/>
                <w:b/>
              </w:rPr>
              <w:t>Vaccine</w:t>
            </w:r>
          </w:p>
        </w:tc>
        <w:tc>
          <w:tcPr>
            <w:tcW w:w="1843" w:type="dxa"/>
            <w:tcBorders>
              <w:left w:val="nil"/>
              <w:bottom w:val="single" w:color="auto" w:sz="4" w:space="0"/>
              <w:right w:val="nil"/>
            </w:tcBorders>
          </w:tcPr>
          <w:p w14:paraId="08A3DBE4">
            <w:pPr>
              <w:rPr>
                <w:rFonts w:cs="Times New Roman"/>
                <w:b/>
              </w:rPr>
            </w:pPr>
            <w:r>
              <w:rPr>
                <w:rFonts w:cs="Times New Roman"/>
                <w:b/>
              </w:rPr>
              <w:t xml:space="preserve">Groups </w:t>
            </w:r>
          </w:p>
        </w:tc>
        <w:tc>
          <w:tcPr>
            <w:tcW w:w="1276" w:type="dxa"/>
            <w:tcBorders>
              <w:left w:val="nil"/>
              <w:bottom w:val="single" w:color="auto" w:sz="4" w:space="0"/>
              <w:right w:val="nil"/>
            </w:tcBorders>
          </w:tcPr>
          <w:p w14:paraId="53F26833">
            <w:pPr>
              <w:rPr>
                <w:rFonts w:cs="Times New Roman"/>
                <w:b/>
              </w:rPr>
            </w:pPr>
            <w:r>
              <w:rPr>
                <w:rFonts w:cs="Times New Roman"/>
                <w:b/>
              </w:rPr>
              <w:t xml:space="preserve">Mean </w:t>
            </w:r>
          </w:p>
        </w:tc>
        <w:tc>
          <w:tcPr>
            <w:tcW w:w="1559" w:type="dxa"/>
            <w:tcBorders>
              <w:left w:val="nil"/>
              <w:bottom w:val="single" w:color="auto" w:sz="4" w:space="0"/>
              <w:right w:val="nil"/>
            </w:tcBorders>
          </w:tcPr>
          <w:p w14:paraId="53F77DF2">
            <w:pPr>
              <w:rPr>
                <w:rFonts w:cs="Times New Roman"/>
                <w:b/>
              </w:rPr>
            </w:pPr>
            <w:r>
              <w:rPr>
                <w:rFonts w:cs="Times New Roman"/>
                <w:b/>
              </w:rPr>
              <w:t>Coefficient</w:t>
            </w:r>
          </w:p>
        </w:tc>
        <w:tc>
          <w:tcPr>
            <w:tcW w:w="1276" w:type="dxa"/>
            <w:tcBorders>
              <w:left w:val="nil"/>
              <w:bottom w:val="single" w:color="auto" w:sz="4" w:space="0"/>
              <w:right w:val="nil"/>
            </w:tcBorders>
          </w:tcPr>
          <w:p w14:paraId="210DBB19">
            <w:pPr>
              <w:rPr>
                <w:rFonts w:cs="Times New Roman"/>
                <w:b/>
              </w:rPr>
            </w:pPr>
            <w:r>
              <w:rPr>
                <w:rFonts w:cs="Times New Roman"/>
                <w:b/>
              </w:rPr>
              <w:t>P-value</w:t>
            </w:r>
          </w:p>
        </w:tc>
        <w:tc>
          <w:tcPr>
            <w:tcW w:w="1734" w:type="dxa"/>
            <w:tcBorders>
              <w:left w:val="nil"/>
              <w:bottom w:val="single" w:color="auto" w:sz="4" w:space="0"/>
              <w:right w:val="nil"/>
            </w:tcBorders>
          </w:tcPr>
          <w:p w14:paraId="5E7FD751">
            <w:pPr>
              <w:rPr>
                <w:rFonts w:cs="Times New Roman"/>
                <w:b/>
              </w:rPr>
            </w:pPr>
            <w:r>
              <w:rPr>
                <w:rFonts w:cs="Times New Roman"/>
                <w:b/>
              </w:rPr>
              <w:t>SI(stimulation index)</w:t>
            </w:r>
          </w:p>
        </w:tc>
      </w:tr>
      <w:tr w14:paraId="79E03A73">
        <w:tblPrEx>
          <w:tblCellMar>
            <w:top w:w="0" w:type="dxa"/>
            <w:left w:w="108" w:type="dxa"/>
            <w:bottom w:w="0" w:type="dxa"/>
            <w:right w:w="108" w:type="dxa"/>
          </w:tblCellMar>
        </w:tblPrEx>
        <w:tc>
          <w:tcPr>
            <w:tcW w:w="1242" w:type="dxa"/>
            <w:vMerge w:val="restart"/>
            <w:tcBorders>
              <w:left w:val="nil"/>
              <w:bottom w:val="nil"/>
              <w:right w:val="nil"/>
            </w:tcBorders>
          </w:tcPr>
          <w:p w14:paraId="660A9B5D">
            <w:pPr>
              <w:rPr>
                <w:rFonts w:cs="Times New Roman"/>
              </w:rPr>
            </w:pPr>
            <w:r>
              <w:rPr>
                <w:rFonts w:cs="Times New Roman"/>
              </w:rPr>
              <w:t>HB1/LaSota</w:t>
            </w:r>
          </w:p>
        </w:tc>
        <w:tc>
          <w:tcPr>
            <w:tcW w:w="1843" w:type="dxa"/>
            <w:tcBorders>
              <w:top w:val="nil"/>
              <w:left w:val="nil"/>
              <w:bottom w:val="nil"/>
              <w:right w:val="nil"/>
            </w:tcBorders>
          </w:tcPr>
          <w:p w14:paraId="7A880E11">
            <w:pPr>
              <w:rPr>
                <w:rFonts w:cs="Times New Roman"/>
              </w:rPr>
            </w:pPr>
            <w:r>
              <w:rPr>
                <w:rFonts w:cs="Times New Roman"/>
              </w:rPr>
              <w:t>Parasite + vaccine</w:t>
            </w:r>
          </w:p>
        </w:tc>
        <w:tc>
          <w:tcPr>
            <w:tcW w:w="1276" w:type="dxa"/>
            <w:tcBorders>
              <w:top w:val="nil"/>
              <w:left w:val="nil"/>
              <w:bottom w:val="nil"/>
              <w:right w:val="nil"/>
            </w:tcBorders>
          </w:tcPr>
          <w:p w14:paraId="04BE4E9C">
            <w:pPr>
              <w:rPr>
                <w:rFonts w:cs="Times New Roman"/>
              </w:rPr>
            </w:pPr>
            <w:r>
              <w:rPr>
                <w:rFonts w:cs="Times New Roman"/>
              </w:rPr>
              <w:t>0.098</w:t>
            </w:r>
          </w:p>
        </w:tc>
        <w:tc>
          <w:tcPr>
            <w:tcW w:w="1559" w:type="dxa"/>
            <w:tcBorders>
              <w:top w:val="nil"/>
              <w:left w:val="nil"/>
              <w:bottom w:val="nil"/>
              <w:right w:val="nil"/>
            </w:tcBorders>
          </w:tcPr>
          <w:p w14:paraId="3E5D8E16">
            <w:pPr>
              <w:rPr>
                <w:rFonts w:cs="Times New Roman"/>
              </w:rPr>
            </w:pPr>
            <w:r>
              <w:rPr>
                <w:rFonts w:cs="Times New Roman"/>
              </w:rPr>
              <w:t xml:space="preserve">0.04 </w:t>
            </w:r>
          </w:p>
        </w:tc>
        <w:tc>
          <w:tcPr>
            <w:tcW w:w="1276" w:type="dxa"/>
            <w:tcBorders>
              <w:top w:val="nil"/>
              <w:left w:val="nil"/>
              <w:bottom w:val="nil"/>
              <w:right w:val="nil"/>
            </w:tcBorders>
          </w:tcPr>
          <w:p w14:paraId="52D783A5">
            <w:pPr>
              <w:rPr>
                <w:rFonts w:cs="Times New Roman"/>
              </w:rPr>
            </w:pPr>
            <w:r>
              <w:rPr>
                <w:rFonts w:cs="Times New Roman"/>
              </w:rPr>
              <w:t>0.0000</w:t>
            </w:r>
          </w:p>
        </w:tc>
        <w:tc>
          <w:tcPr>
            <w:tcW w:w="1734" w:type="dxa"/>
            <w:tcBorders>
              <w:top w:val="nil"/>
              <w:left w:val="nil"/>
              <w:bottom w:val="nil"/>
              <w:right w:val="nil"/>
            </w:tcBorders>
          </w:tcPr>
          <w:p w14:paraId="2CCD8FE8">
            <w:pPr>
              <w:rPr>
                <w:rFonts w:cs="Times New Roman"/>
              </w:rPr>
            </w:pPr>
            <w:r>
              <w:rPr>
                <w:rFonts w:cs="Times New Roman"/>
              </w:rPr>
              <w:t>2.23</w:t>
            </w:r>
          </w:p>
        </w:tc>
      </w:tr>
      <w:tr w14:paraId="23F29FE6">
        <w:tblPrEx>
          <w:tblCellMar>
            <w:top w:w="0" w:type="dxa"/>
            <w:left w:w="108" w:type="dxa"/>
            <w:bottom w:w="0" w:type="dxa"/>
            <w:right w:w="108" w:type="dxa"/>
          </w:tblCellMar>
        </w:tblPrEx>
        <w:trPr>
          <w:trHeight w:val="171" w:hRule="atLeast"/>
        </w:trPr>
        <w:tc>
          <w:tcPr>
            <w:tcW w:w="1242" w:type="dxa"/>
            <w:vMerge w:val="continue"/>
            <w:tcBorders>
              <w:left w:val="nil"/>
              <w:bottom w:val="nil"/>
              <w:right w:val="nil"/>
            </w:tcBorders>
          </w:tcPr>
          <w:p w14:paraId="3DE4FD86">
            <w:pPr>
              <w:rPr>
                <w:rFonts w:cs="Times New Roman"/>
              </w:rPr>
            </w:pPr>
          </w:p>
        </w:tc>
        <w:tc>
          <w:tcPr>
            <w:tcW w:w="1843" w:type="dxa"/>
            <w:tcBorders>
              <w:top w:val="nil"/>
              <w:left w:val="nil"/>
              <w:bottom w:val="nil"/>
              <w:right w:val="nil"/>
            </w:tcBorders>
          </w:tcPr>
          <w:p w14:paraId="40F3BAD4">
            <w:pPr>
              <w:rPr>
                <w:rFonts w:cs="Times New Roman"/>
              </w:rPr>
            </w:pPr>
            <w:r>
              <w:rPr>
                <w:rFonts w:cs="Times New Roman"/>
              </w:rPr>
              <w:t>Vaccine only</w:t>
            </w:r>
          </w:p>
        </w:tc>
        <w:tc>
          <w:tcPr>
            <w:tcW w:w="1276" w:type="dxa"/>
            <w:tcBorders>
              <w:top w:val="nil"/>
              <w:left w:val="nil"/>
              <w:bottom w:val="nil"/>
              <w:right w:val="nil"/>
            </w:tcBorders>
          </w:tcPr>
          <w:p w14:paraId="7B36EE97">
            <w:pPr>
              <w:rPr>
                <w:rFonts w:cs="Times New Roman"/>
              </w:rPr>
            </w:pPr>
            <w:r>
              <w:rPr>
                <w:rFonts w:cs="Times New Roman"/>
              </w:rPr>
              <w:t>0.10</w:t>
            </w:r>
          </w:p>
        </w:tc>
        <w:tc>
          <w:tcPr>
            <w:tcW w:w="1559" w:type="dxa"/>
            <w:tcBorders>
              <w:top w:val="nil"/>
              <w:left w:val="nil"/>
              <w:bottom w:val="nil"/>
              <w:right w:val="nil"/>
            </w:tcBorders>
          </w:tcPr>
          <w:p w14:paraId="148CF3F7">
            <w:pPr>
              <w:rPr>
                <w:rFonts w:cs="Times New Roman"/>
              </w:rPr>
            </w:pPr>
            <w:r>
              <w:rPr>
                <w:rFonts w:cs="Times New Roman"/>
              </w:rPr>
              <w:t xml:space="preserve">0.034 </w:t>
            </w:r>
          </w:p>
        </w:tc>
        <w:tc>
          <w:tcPr>
            <w:tcW w:w="1276" w:type="dxa"/>
            <w:tcBorders>
              <w:top w:val="nil"/>
              <w:left w:val="nil"/>
              <w:bottom w:val="nil"/>
              <w:right w:val="nil"/>
            </w:tcBorders>
          </w:tcPr>
          <w:p w14:paraId="087B57CD">
            <w:pPr>
              <w:rPr>
                <w:rFonts w:cs="Times New Roman"/>
              </w:rPr>
            </w:pPr>
            <w:r>
              <w:rPr>
                <w:rFonts w:cs="Times New Roman"/>
              </w:rPr>
              <w:t>0.0000</w:t>
            </w:r>
          </w:p>
        </w:tc>
        <w:tc>
          <w:tcPr>
            <w:tcW w:w="1734" w:type="dxa"/>
            <w:tcBorders>
              <w:top w:val="nil"/>
              <w:left w:val="nil"/>
              <w:bottom w:val="nil"/>
              <w:right w:val="nil"/>
            </w:tcBorders>
          </w:tcPr>
          <w:p w14:paraId="613DAE92">
            <w:pPr>
              <w:rPr>
                <w:rFonts w:cs="Times New Roman"/>
              </w:rPr>
            </w:pPr>
            <w:r>
              <w:rPr>
                <w:rFonts w:cs="Times New Roman"/>
              </w:rPr>
              <w:t>2.34</w:t>
            </w:r>
          </w:p>
        </w:tc>
      </w:tr>
      <w:tr w14:paraId="59751627">
        <w:tblPrEx>
          <w:tblCellMar>
            <w:top w:w="0" w:type="dxa"/>
            <w:left w:w="108" w:type="dxa"/>
            <w:bottom w:w="0" w:type="dxa"/>
            <w:right w:w="108" w:type="dxa"/>
          </w:tblCellMar>
        </w:tblPrEx>
        <w:tc>
          <w:tcPr>
            <w:tcW w:w="1242" w:type="dxa"/>
            <w:vMerge w:val="restart"/>
            <w:tcBorders>
              <w:top w:val="nil"/>
              <w:left w:val="nil"/>
              <w:bottom w:val="nil"/>
              <w:right w:val="nil"/>
            </w:tcBorders>
          </w:tcPr>
          <w:p w14:paraId="3CC368B2">
            <w:pPr>
              <w:rPr>
                <w:rFonts w:cs="Times New Roman"/>
              </w:rPr>
            </w:pPr>
            <w:r>
              <w:rPr>
                <w:rFonts w:cs="Times New Roman"/>
              </w:rPr>
              <w:t>NCTH</w:t>
            </w:r>
          </w:p>
        </w:tc>
        <w:tc>
          <w:tcPr>
            <w:tcW w:w="1843" w:type="dxa"/>
            <w:tcBorders>
              <w:top w:val="nil"/>
              <w:left w:val="nil"/>
              <w:bottom w:val="nil"/>
              <w:right w:val="nil"/>
            </w:tcBorders>
          </w:tcPr>
          <w:p w14:paraId="0032DDB7">
            <w:pPr>
              <w:rPr>
                <w:rFonts w:cs="Times New Roman"/>
              </w:rPr>
            </w:pPr>
            <w:r>
              <w:rPr>
                <w:rFonts w:cs="Times New Roman"/>
              </w:rPr>
              <w:t>Parasite + vaccine</w:t>
            </w:r>
          </w:p>
        </w:tc>
        <w:tc>
          <w:tcPr>
            <w:tcW w:w="1276" w:type="dxa"/>
            <w:tcBorders>
              <w:top w:val="nil"/>
              <w:left w:val="nil"/>
              <w:bottom w:val="nil"/>
              <w:right w:val="nil"/>
            </w:tcBorders>
          </w:tcPr>
          <w:p w14:paraId="7A36B632">
            <w:pPr>
              <w:rPr>
                <w:rFonts w:cs="Times New Roman"/>
              </w:rPr>
            </w:pPr>
            <w:r>
              <w:rPr>
                <w:rFonts w:cs="Times New Roman"/>
              </w:rPr>
              <w:t>0.165</w:t>
            </w:r>
          </w:p>
        </w:tc>
        <w:tc>
          <w:tcPr>
            <w:tcW w:w="1559" w:type="dxa"/>
            <w:tcBorders>
              <w:top w:val="nil"/>
              <w:left w:val="nil"/>
              <w:bottom w:val="nil"/>
              <w:right w:val="nil"/>
            </w:tcBorders>
          </w:tcPr>
          <w:p w14:paraId="455E831A">
            <w:pPr>
              <w:rPr>
                <w:rFonts w:cs="Times New Roman"/>
              </w:rPr>
            </w:pPr>
            <w:r>
              <w:rPr>
                <w:rFonts w:cs="Times New Roman"/>
              </w:rPr>
              <w:t xml:space="preserve">0.035 </w:t>
            </w:r>
          </w:p>
        </w:tc>
        <w:tc>
          <w:tcPr>
            <w:tcW w:w="1276" w:type="dxa"/>
            <w:tcBorders>
              <w:top w:val="nil"/>
              <w:left w:val="nil"/>
              <w:bottom w:val="nil"/>
              <w:right w:val="nil"/>
            </w:tcBorders>
          </w:tcPr>
          <w:p w14:paraId="4EC57C14">
            <w:pPr>
              <w:rPr>
                <w:rFonts w:cs="Times New Roman"/>
              </w:rPr>
            </w:pPr>
            <w:r>
              <w:rPr>
                <w:rFonts w:cs="Times New Roman"/>
              </w:rPr>
              <w:t>0.0182</w:t>
            </w:r>
          </w:p>
        </w:tc>
        <w:tc>
          <w:tcPr>
            <w:tcW w:w="1734" w:type="dxa"/>
            <w:tcBorders>
              <w:top w:val="nil"/>
              <w:left w:val="nil"/>
              <w:bottom w:val="nil"/>
              <w:right w:val="nil"/>
            </w:tcBorders>
          </w:tcPr>
          <w:p w14:paraId="6E8629DE">
            <w:pPr>
              <w:rPr>
                <w:rFonts w:cs="Times New Roman"/>
              </w:rPr>
            </w:pPr>
            <w:r>
              <w:rPr>
                <w:rFonts w:cs="Times New Roman"/>
              </w:rPr>
              <w:t>3.75</w:t>
            </w:r>
          </w:p>
        </w:tc>
      </w:tr>
      <w:tr w14:paraId="234BA011">
        <w:tblPrEx>
          <w:tblCellMar>
            <w:top w:w="0" w:type="dxa"/>
            <w:left w:w="108" w:type="dxa"/>
            <w:bottom w:w="0" w:type="dxa"/>
            <w:right w:w="108" w:type="dxa"/>
          </w:tblCellMar>
        </w:tblPrEx>
        <w:tc>
          <w:tcPr>
            <w:tcW w:w="1242" w:type="dxa"/>
            <w:vMerge w:val="continue"/>
            <w:tcBorders>
              <w:top w:val="single" w:color="auto" w:sz="4" w:space="0"/>
              <w:left w:val="nil"/>
              <w:bottom w:val="nil"/>
              <w:right w:val="nil"/>
            </w:tcBorders>
          </w:tcPr>
          <w:p w14:paraId="11FBC261">
            <w:pPr>
              <w:rPr>
                <w:rFonts w:cs="Times New Roman"/>
                <w:b/>
              </w:rPr>
            </w:pPr>
          </w:p>
        </w:tc>
        <w:tc>
          <w:tcPr>
            <w:tcW w:w="1843" w:type="dxa"/>
            <w:tcBorders>
              <w:top w:val="nil"/>
              <w:left w:val="nil"/>
              <w:bottom w:val="nil"/>
              <w:right w:val="nil"/>
            </w:tcBorders>
          </w:tcPr>
          <w:p w14:paraId="70E51381">
            <w:pPr>
              <w:rPr>
                <w:rFonts w:cs="Times New Roman"/>
              </w:rPr>
            </w:pPr>
            <w:r>
              <w:rPr>
                <w:rFonts w:cs="Times New Roman"/>
              </w:rPr>
              <w:t>Vaccine only</w:t>
            </w:r>
          </w:p>
        </w:tc>
        <w:tc>
          <w:tcPr>
            <w:tcW w:w="1276" w:type="dxa"/>
            <w:tcBorders>
              <w:top w:val="nil"/>
              <w:left w:val="nil"/>
              <w:bottom w:val="nil"/>
              <w:right w:val="nil"/>
            </w:tcBorders>
          </w:tcPr>
          <w:p w14:paraId="6BAB944A">
            <w:pPr>
              <w:rPr>
                <w:rFonts w:cs="Times New Roman"/>
              </w:rPr>
            </w:pPr>
            <w:r>
              <w:rPr>
                <w:rFonts w:cs="Times New Roman"/>
              </w:rPr>
              <w:t>0.099</w:t>
            </w:r>
          </w:p>
        </w:tc>
        <w:tc>
          <w:tcPr>
            <w:tcW w:w="1559" w:type="dxa"/>
            <w:tcBorders>
              <w:top w:val="nil"/>
              <w:left w:val="nil"/>
              <w:bottom w:val="nil"/>
              <w:right w:val="nil"/>
            </w:tcBorders>
          </w:tcPr>
          <w:p w14:paraId="253E2BA2">
            <w:pPr>
              <w:rPr>
                <w:rFonts w:cs="Times New Roman"/>
              </w:rPr>
            </w:pPr>
            <w:r>
              <w:rPr>
                <w:rFonts w:cs="Times New Roman"/>
              </w:rPr>
              <w:t xml:space="preserve">0.10 </w:t>
            </w:r>
          </w:p>
        </w:tc>
        <w:tc>
          <w:tcPr>
            <w:tcW w:w="1276" w:type="dxa"/>
            <w:tcBorders>
              <w:top w:val="nil"/>
              <w:left w:val="nil"/>
              <w:bottom w:val="nil"/>
              <w:right w:val="nil"/>
            </w:tcBorders>
          </w:tcPr>
          <w:p w14:paraId="4BDB5BA2">
            <w:pPr>
              <w:rPr>
                <w:rFonts w:cs="Times New Roman"/>
              </w:rPr>
            </w:pPr>
            <w:r>
              <w:rPr>
                <w:rFonts w:cs="Times New Roman"/>
              </w:rPr>
              <w:t>0.0000</w:t>
            </w:r>
          </w:p>
        </w:tc>
        <w:tc>
          <w:tcPr>
            <w:tcW w:w="1734" w:type="dxa"/>
            <w:tcBorders>
              <w:top w:val="nil"/>
              <w:left w:val="nil"/>
              <w:bottom w:val="nil"/>
              <w:right w:val="nil"/>
            </w:tcBorders>
          </w:tcPr>
          <w:p w14:paraId="43AA4B11">
            <w:pPr>
              <w:rPr>
                <w:rFonts w:cs="Times New Roman"/>
              </w:rPr>
            </w:pPr>
            <w:r>
              <w:rPr>
                <w:rFonts w:cs="Times New Roman"/>
              </w:rPr>
              <w:t>2.26</w:t>
            </w:r>
          </w:p>
        </w:tc>
      </w:tr>
      <w:tr w14:paraId="614062AE">
        <w:tblPrEx>
          <w:tblCellMar>
            <w:top w:w="0" w:type="dxa"/>
            <w:left w:w="108" w:type="dxa"/>
            <w:bottom w:w="0" w:type="dxa"/>
            <w:right w:w="108" w:type="dxa"/>
          </w:tblCellMar>
        </w:tblPrEx>
        <w:trPr>
          <w:trHeight w:val="475" w:hRule="atLeast"/>
        </w:trPr>
        <w:tc>
          <w:tcPr>
            <w:tcW w:w="1242" w:type="dxa"/>
            <w:vMerge w:val="restart"/>
            <w:tcBorders>
              <w:top w:val="nil"/>
              <w:left w:val="nil"/>
              <w:bottom w:val="nil"/>
              <w:right w:val="nil"/>
            </w:tcBorders>
          </w:tcPr>
          <w:p w14:paraId="0D04D0EE">
            <w:pPr>
              <w:rPr>
                <w:rFonts w:cs="Times New Roman"/>
              </w:rPr>
            </w:pPr>
            <w:r>
              <w:rPr>
                <w:rFonts w:cs="Times New Roman"/>
              </w:rPr>
              <w:t xml:space="preserve">Not vaccinated </w:t>
            </w:r>
          </w:p>
        </w:tc>
        <w:tc>
          <w:tcPr>
            <w:tcW w:w="1843" w:type="dxa"/>
            <w:tcBorders>
              <w:top w:val="nil"/>
              <w:left w:val="nil"/>
              <w:bottom w:val="nil"/>
              <w:right w:val="nil"/>
            </w:tcBorders>
          </w:tcPr>
          <w:p w14:paraId="6DA63207">
            <w:pPr>
              <w:rPr>
                <w:rFonts w:cs="Times New Roman"/>
              </w:rPr>
            </w:pPr>
            <w:r>
              <w:rPr>
                <w:rFonts w:cs="Times New Roman"/>
              </w:rPr>
              <w:t>Parasite only</w:t>
            </w:r>
          </w:p>
        </w:tc>
        <w:tc>
          <w:tcPr>
            <w:tcW w:w="1276" w:type="dxa"/>
            <w:tcBorders>
              <w:top w:val="nil"/>
              <w:left w:val="nil"/>
              <w:bottom w:val="nil"/>
              <w:right w:val="nil"/>
            </w:tcBorders>
          </w:tcPr>
          <w:p w14:paraId="3670289C">
            <w:pPr>
              <w:rPr>
                <w:rFonts w:cs="Times New Roman"/>
              </w:rPr>
            </w:pPr>
            <w:r>
              <w:rPr>
                <w:rFonts w:cs="Times New Roman"/>
              </w:rPr>
              <w:t>0.056</w:t>
            </w:r>
          </w:p>
        </w:tc>
        <w:tc>
          <w:tcPr>
            <w:tcW w:w="1559" w:type="dxa"/>
            <w:tcBorders>
              <w:top w:val="nil"/>
              <w:left w:val="nil"/>
              <w:bottom w:val="nil"/>
              <w:right w:val="nil"/>
            </w:tcBorders>
          </w:tcPr>
          <w:p w14:paraId="52DE1FE3">
            <w:pPr>
              <w:rPr>
                <w:rFonts w:cs="Times New Roman"/>
              </w:rPr>
            </w:pPr>
            <w:r>
              <w:rPr>
                <w:rFonts w:cs="Times New Roman"/>
              </w:rPr>
              <w:t>-0.0072</w:t>
            </w:r>
          </w:p>
        </w:tc>
        <w:tc>
          <w:tcPr>
            <w:tcW w:w="1276" w:type="dxa"/>
            <w:tcBorders>
              <w:top w:val="nil"/>
              <w:left w:val="nil"/>
              <w:bottom w:val="nil"/>
              <w:right w:val="nil"/>
            </w:tcBorders>
          </w:tcPr>
          <w:p w14:paraId="6F9EAB4B">
            <w:pPr>
              <w:rPr>
                <w:rFonts w:cs="Times New Roman"/>
              </w:rPr>
            </w:pPr>
            <w:r>
              <w:rPr>
                <w:rFonts w:cs="Times New Roman"/>
              </w:rPr>
              <w:t>0.63</w:t>
            </w:r>
          </w:p>
        </w:tc>
        <w:tc>
          <w:tcPr>
            <w:tcW w:w="1734" w:type="dxa"/>
            <w:tcBorders>
              <w:top w:val="nil"/>
              <w:left w:val="nil"/>
              <w:bottom w:val="nil"/>
              <w:right w:val="nil"/>
            </w:tcBorders>
          </w:tcPr>
          <w:p w14:paraId="165CE9CC">
            <w:pPr>
              <w:rPr>
                <w:rFonts w:cs="Times New Roman"/>
              </w:rPr>
            </w:pPr>
            <w:r>
              <w:rPr>
                <w:rFonts w:cs="Times New Roman"/>
              </w:rPr>
              <w:t>1.27</w:t>
            </w:r>
          </w:p>
        </w:tc>
      </w:tr>
      <w:tr w14:paraId="4E96BE37">
        <w:tblPrEx>
          <w:tblCellMar>
            <w:top w:w="0" w:type="dxa"/>
            <w:left w:w="108" w:type="dxa"/>
            <w:bottom w:w="0" w:type="dxa"/>
            <w:right w:w="108" w:type="dxa"/>
          </w:tblCellMar>
        </w:tblPrEx>
        <w:trPr>
          <w:trHeight w:val="297" w:hRule="atLeast"/>
        </w:trPr>
        <w:tc>
          <w:tcPr>
            <w:tcW w:w="1242" w:type="dxa"/>
            <w:vMerge w:val="continue"/>
            <w:tcBorders>
              <w:left w:val="nil"/>
              <w:bottom w:val="nil"/>
              <w:right w:val="nil"/>
            </w:tcBorders>
          </w:tcPr>
          <w:p w14:paraId="2D0B127D">
            <w:pPr>
              <w:rPr>
                <w:rFonts w:cs="Times New Roman"/>
              </w:rPr>
            </w:pPr>
          </w:p>
        </w:tc>
        <w:tc>
          <w:tcPr>
            <w:tcW w:w="1843" w:type="dxa"/>
            <w:tcBorders>
              <w:top w:val="nil"/>
              <w:left w:val="nil"/>
              <w:right w:val="nil"/>
            </w:tcBorders>
          </w:tcPr>
          <w:p w14:paraId="0DA26CEF">
            <w:pPr>
              <w:rPr>
                <w:rFonts w:cs="Times New Roman"/>
              </w:rPr>
            </w:pPr>
            <w:r>
              <w:rPr>
                <w:rFonts w:cs="Times New Roman"/>
              </w:rPr>
              <w:t>Control</w:t>
            </w:r>
          </w:p>
        </w:tc>
        <w:tc>
          <w:tcPr>
            <w:tcW w:w="1276" w:type="dxa"/>
            <w:tcBorders>
              <w:top w:val="nil"/>
              <w:left w:val="nil"/>
              <w:right w:val="nil"/>
            </w:tcBorders>
          </w:tcPr>
          <w:p w14:paraId="0787AFD7">
            <w:pPr>
              <w:rPr>
                <w:rFonts w:cs="Times New Roman"/>
              </w:rPr>
            </w:pPr>
            <w:r>
              <w:rPr>
                <w:rFonts w:cs="Times New Roman"/>
              </w:rPr>
              <w:t>0.064</w:t>
            </w:r>
          </w:p>
        </w:tc>
        <w:tc>
          <w:tcPr>
            <w:tcW w:w="1559" w:type="dxa"/>
            <w:tcBorders>
              <w:top w:val="nil"/>
              <w:left w:val="nil"/>
              <w:right w:val="nil"/>
            </w:tcBorders>
          </w:tcPr>
          <w:p w14:paraId="4B2CD504">
            <w:pPr>
              <w:rPr>
                <w:rFonts w:cs="Times New Roman"/>
              </w:rPr>
            </w:pPr>
            <w:r>
              <w:rPr>
                <w:rFonts w:cs="Times New Roman"/>
              </w:rPr>
              <w:t>Ref.</w:t>
            </w:r>
          </w:p>
        </w:tc>
        <w:tc>
          <w:tcPr>
            <w:tcW w:w="1276" w:type="dxa"/>
            <w:tcBorders>
              <w:top w:val="nil"/>
              <w:left w:val="nil"/>
              <w:right w:val="nil"/>
            </w:tcBorders>
          </w:tcPr>
          <w:p w14:paraId="59D5F732">
            <w:pPr>
              <w:rPr>
                <w:rFonts w:cs="Times New Roman"/>
              </w:rPr>
            </w:pPr>
          </w:p>
        </w:tc>
        <w:tc>
          <w:tcPr>
            <w:tcW w:w="1734" w:type="dxa"/>
            <w:tcBorders>
              <w:top w:val="nil"/>
              <w:left w:val="nil"/>
              <w:right w:val="nil"/>
            </w:tcBorders>
          </w:tcPr>
          <w:p w14:paraId="1B6217DB">
            <w:pPr>
              <w:rPr>
                <w:rFonts w:cs="Times New Roman"/>
              </w:rPr>
            </w:pPr>
            <w:r>
              <w:rPr>
                <w:rFonts w:cs="Times New Roman"/>
              </w:rPr>
              <w:t>1.45</w:t>
            </w:r>
          </w:p>
        </w:tc>
      </w:tr>
    </w:tbl>
    <w:p w14:paraId="1008E9D0">
      <w:pPr>
        <w:spacing w:line="240" w:lineRule="auto"/>
        <w:rPr>
          <w:color w:val="FF0000"/>
        </w:rPr>
      </w:pPr>
    </w:p>
    <w:p w14:paraId="0EA0F73D">
      <w:pPr>
        <w:spacing w:line="240" w:lineRule="auto"/>
        <w:rPr>
          <w:color w:val="FF0000"/>
        </w:rPr>
      </w:pPr>
    </w:p>
    <w:p w14:paraId="27182C0F">
      <w:pPr>
        <w:pStyle w:val="5"/>
        <w:spacing w:before="0"/>
        <w:rPr>
          <w:rFonts w:ascii="Times New Roman" w:hAnsi="Times New Roman" w:cs="Times New Roman"/>
        </w:rPr>
      </w:pPr>
      <w:r>
        <w:rPr>
          <w:rFonts w:ascii="Times New Roman" w:hAnsi="Times New Roman" w:cs="Times New Roman"/>
        </w:rPr>
        <w:t>Honey with HB1/LaSota and vaccines</w:t>
      </w:r>
    </w:p>
    <w:p w14:paraId="1D595702">
      <w:pPr>
        <w:spacing w:line="240" w:lineRule="auto"/>
      </w:pPr>
    </w:p>
    <w:p w14:paraId="18B17477">
      <w:pPr>
        <w:rPr>
          <w:rFonts w:cs="Times New Roman"/>
          <w:szCs w:val="24"/>
        </w:rPr>
      </w:pPr>
      <w:r>
        <w:t xml:space="preserve">The honey given for the HB1/LaSota vaccinated chickens had significantly high mean absorbance of cells after the addition of the MTT reagent as compared to the control. It had mean absorbtion (average OD value) and stimulation index (SI) of </w:t>
      </w:r>
      <w:r>
        <w:rPr>
          <w:rFonts w:cs="Times New Roman"/>
          <w:szCs w:val="24"/>
        </w:rPr>
        <w:t>0.11 and 2.53 respectively. Honey boosted the HB1/LaSota response of the cell viability by 0.0047 from the control. Although both of the vaccinated groups had significance difference (P&lt;0.05), high cell viability and absorbance, the honey fed with HB1/LaSota vaccine had relatively higher absorbance and cell viability. Even it had higher stimulation index (2.53&gt;2.35).</w:t>
      </w:r>
    </w:p>
    <w:p w14:paraId="1F55D681">
      <w:pPr>
        <w:rPr>
          <w:rFonts w:cs="Times New Roman"/>
          <w:szCs w:val="24"/>
        </w:rPr>
      </w:pPr>
      <w:r>
        <w:rPr>
          <w:rFonts w:cs="Times New Roman"/>
          <w:szCs w:val="24"/>
        </w:rPr>
        <w:t>Comparing to control, the honey only fed group also had significantly higher (P&lt;0.05) absorbance and cell viability as well as stimulation. The control group had lower SI and mean absorbance value of 1.45 and 0.064 respectively, but honey taken group had higher SI and absorbance value (2.25 and 0.099 respectively) as indicated in Table 9 below.</w:t>
      </w:r>
    </w:p>
    <w:p w14:paraId="266FB723">
      <w:pPr>
        <w:spacing w:line="240" w:lineRule="auto"/>
        <w:rPr>
          <w:rFonts w:cs="Times New Roman"/>
          <w:szCs w:val="24"/>
        </w:rPr>
      </w:pPr>
    </w:p>
    <w:p w14:paraId="71363AE3">
      <w:pPr>
        <w:rPr>
          <w:rFonts w:cs="Times New Roman"/>
          <w:szCs w:val="24"/>
        </w:rPr>
      </w:pPr>
      <w:r>
        <w:t xml:space="preserve">Table 9 also indicated that the honey given with the thermostable vaccine for chickens had a significantly higher (P&lt;0.05) absorbance level (by using 560nm OD reader spectrophotometer) which indicates that the viability and proliferation of the lymphocytes. The honey taken group had the mean absorbance level of </w:t>
      </w:r>
      <w:r>
        <w:rPr>
          <w:rFonts w:cs="Times New Roman"/>
          <w:szCs w:val="24"/>
        </w:rPr>
        <w:t>0.10, which is significantly greater (P&lt;0.05) relative to the control group. It had more proliferated (stimulated) cells</w:t>
      </w:r>
      <w:r>
        <w:t xml:space="preserve"> rated by </w:t>
      </w:r>
      <w:r>
        <w:rPr>
          <w:rFonts w:cs="Times New Roman"/>
          <w:szCs w:val="24"/>
        </w:rPr>
        <w:t>0.0037 times greater than the control group.</w:t>
      </w:r>
    </w:p>
    <w:p w14:paraId="2401257B">
      <w:pPr>
        <w:spacing w:line="240" w:lineRule="auto"/>
        <w:rPr>
          <w:rFonts w:cs="Times New Roman"/>
          <w:szCs w:val="24"/>
        </w:rPr>
      </w:pPr>
    </w:p>
    <w:p w14:paraId="7D5B40CE">
      <w:pPr>
        <w:rPr>
          <w:rFonts w:cs="Times New Roman"/>
          <w:szCs w:val="24"/>
        </w:rPr>
      </w:pPr>
      <w:r>
        <w:rPr>
          <w:rFonts w:cs="Times New Roman"/>
          <w:szCs w:val="24"/>
        </w:rPr>
        <w:t xml:space="preserve">In comparison to the control group, NCTH (thermostable) vaccinated chickens also had more mean absorbance level (OD value) at 560nm. It had the mean OD value of 0.0995, which was significantly higher (P&lt;0.05) relative to the control group (0.064). The vaccinated group had higher viable and stimulated cells that are responded to the antigen (P&lt;0.05, SI=2.26). </w:t>
      </w:r>
    </w:p>
    <w:p w14:paraId="52F2958B">
      <w:pPr>
        <w:spacing w:line="240" w:lineRule="auto"/>
        <w:rPr>
          <w:rFonts w:cs="Times New Roman"/>
          <w:szCs w:val="24"/>
        </w:rPr>
      </w:pPr>
    </w:p>
    <w:p w14:paraId="77E88446">
      <w:pPr>
        <w:pStyle w:val="10"/>
        <w:spacing w:after="0" w:line="360" w:lineRule="auto"/>
        <w:rPr>
          <w:rFonts w:cs="Times New Roman"/>
          <w:b w:val="0"/>
          <w:color w:val="auto"/>
          <w:sz w:val="24"/>
          <w:szCs w:val="24"/>
        </w:rPr>
      </w:pPr>
      <w:bookmarkStart w:id="95" w:name="_Toc168574024"/>
      <w:r>
        <w:rPr>
          <w:color w:val="auto"/>
          <w:sz w:val="24"/>
          <w:szCs w:val="24"/>
        </w:rPr>
        <w:t xml:space="preserve">Table </w:t>
      </w:r>
      <w:r>
        <w:rPr>
          <w:color w:val="auto"/>
          <w:sz w:val="24"/>
          <w:szCs w:val="24"/>
        </w:rPr>
        <w:fldChar w:fldCharType="begin"/>
      </w:r>
      <w:r>
        <w:rPr>
          <w:color w:val="auto"/>
          <w:sz w:val="24"/>
          <w:szCs w:val="24"/>
        </w:rPr>
        <w:instrText xml:space="preserve"> SEQ Table \* ARABIC </w:instrText>
      </w:r>
      <w:r>
        <w:rPr>
          <w:color w:val="auto"/>
          <w:sz w:val="24"/>
          <w:szCs w:val="24"/>
        </w:rPr>
        <w:fldChar w:fldCharType="separate"/>
      </w:r>
      <w:r>
        <w:rPr>
          <w:color w:val="auto"/>
          <w:sz w:val="24"/>
          <w:szCs w:val="24"/>
        </w:rPr>
        <w:t>9</w:t>
      </w:r>
      <w:r>
        <w:rPr>
          <w:color w:val="auto"/>
          <w:sz w:val="24"/>
          <w:szCs w:val="24"/>
        </w:rPr>
        <w:fldChar w:fldCharType="end"/>
      </w:r>
      <w:r>
        <w:rPr>
          <w:rFonts w:cs="Times New Roman"/>
          <w:b w:val="0"/>
          <w:color w:val="auto"/>
          <w:sz w:val="24"/>
          <w:szCs w:val="24"/>
        </w:rPr>
        <w:t xml:space="preserve">: The immunostimulating effect of honey on Lasota/HB1 and </w:t>
      </w:r>
      <w:r>
        <w:rPr>
          <w:b w:val="0"/>
          <w:color w:val="auto"/>
          <w:sz w:val="24"/>
          <w:szCs w:val="24"/>
        </w:rPr>
        <w:t>NCTH</w:t>
      </w:r>
      <w:r>
        <w:rPr>
          <w:rFonts w:cs="Times New Roman"/>
          <w:b w:val="0"/>
          <w:color w:val="auto"/>
          <w:sz w:val="24"/>
          <w:szCs w:val="24"/>
        </w:rPr>
        <w:t xml:space="preserve"> vaccine</w:t>
      </w:r>
      <w:bookmarkEnd w:id="95"/>
    </w:p>
    <w:tbl>
      <w:tblPr>
        <w:tblStyle w:val="8"/>
        <w:tblW w:w="0" w:type="auto"/>
        <w:tblInd w:w="0" w:type="dxa"/>
        <w:tblLayout w:type="fixed"/>
        <w:tblCellMar>
          <w:top w:w="0" w:type="dxa"/>
          <w:left w:w="108" w:type="dxa"/>
          <w:bottom w:w="0" w:type="dxa"/>
          <w:right w:w="108" w:type="dxa"/>
        </w:tblCellMar>
      </w:tblPr>
      <w:tblGrid>
        <w:gridCol w:w="1101"/>
        <w:gridCol w:w="2126"/>
        <w:gridCol w:w="992"/>
        <w:gridCol w:w="1450"/>
        <w:gridCol w:w="960"/>
        <w:gridCol w:w="1559"/>
      </w:tblGrid>
      <w:tr w14:paraId="641FC1DD">
        <w:tblPrEx>
          <w:tblCellMar>
            <w:top w:w="0" w:type="dxa"/>
            <w:left w:w="108" w:type="dxa"/>
            <w:bottom w:w="0" w:type="dxa"/>
            <w:right w:w="108" w:type="dxa"/>
          </w:tblCellMar>
        </w:tblPrEx>
        <w:tc>
          <w:tcPr>
            <w:tcW w:w="1101" w:type="dxa"/>
            <w:tcBorders>
              <w:left w:val="nil"/>
              <w:bottom w:val="single" w:color="auto" w:sz="4" w:space="0"/>
              <w:right w:val="nil"/>
            </w:tcBorders>
          </w:tcPr>
          <w:p w14:paraId="73FE1CC6">
            <w:pPr>
              <w:rPr>
                <w:rFonts w:cs="Times New Roman"/>
                <w:b/>
              </w:rPr>
            </w:pPr>
            <w:r>
              <w:rPr>
                <w:rFonts w:cs="Times New Roman"/>
                <w:b/>
              </w:rPr>
              <w:t xml:space="preserve">Vaccines </w:t>
            </w:r>
          </w:p>
        </w:tc>
        <w:tc>
          <w:tcPr>
            <w:tcW w:w="2126" w:type="dxa"/>
            <w:tcBorders>
              <w:left w:val="nil"/>
              <w:bottom w:val="single" w:color="auto" w:sz="4" w:space="0"/>
              <w:right w:val="nil"/>
            </w:tcBorders>
          </w:tcPr>
          <w:p w14:paraId="6BEE3EBC">
            <w:pPr>
              <w:rPr>
                <w:rFonts w:cs="Times New Roman"/>
                <w:b/>
              </w:rPr>
            </w:pPr>
            <w:r>
              <w:rPr>
                <w:rFonts w:cs="Times New Roman"/>
                <w:b/>
              </w:rPr>
              <w:t>Groups</w:t>
            </w:r>
          </w:p>
        </w:tc>
        <w:tc>
          <w:tcPr>
            <w:tcW w:w="992" w:type="dxa"/>
            <w:tcBorders>
              <w:left w:val="nil"/>
              <w:bottom w:val="single" w:color="auto" w:sz="4" w:space="0"/>
              <w:right w:val="nil"/>
            </w:tcBorders>
          </w:tcPr>
          <w:p w14:paraId="7321F57A">
            <w:pPr>
              <w:rPr>
                <w:rFonts w:cs="Times New Roman"/>
                <w:b/>
              </w:rPr>
            </w:pPr>
            <w:r>
              <w:rPr>
                <w:rFonts w:cs="Times New Roman"/>
                <w:b/>
              </w:rPr>
              <w:t xml:space="preserve">Mean </w:t>
            </w:r>
          </w:p>
        </w:tc>
        <w:tc>
          <w:tcPr>
            <w:tcW w:w="1450" w:type="dxa"/>
            <w:tcBorders>
              <w:left w:val="nil"/>
              <w:bottom w:val="single" w:color="auto" w:sz="4" w:space="0"/>
              <w:right w:val="nil"/>
            </w:tcBorders>
          </w:tcPr>
          <w:p w14:paraId="0E079874">
            <w:pPr>
              <w:rPr>
                <w:rFonts w:cs="Times New Roman"/>
                <w:b/>
              </w:rPr>
            </w:pPr>
            <w:r>
              <w:rPr>
                <w:rFonts w:cs="Times New Roman"/>
                <w:b/>
              </w:rPr>
              <w:t>Coefficient</w:t>
            </w:r>
          </w:p>
        </w:tc>
        <w:tc>
          <w:tcPr>
            <w:tcW w:w="960" w:type="dxa"/>
            <w:tcBorders>
              <w:left w:val="nil"/>
              <w:bottom w:val="single" w:color="auto" w:sz="4" w:space="0"/>
              <w:right w:val="nil"/>
            </w:tcBorders>
          </w:tcPr>
          <w:p w14:paraId="7E496DA1">
            <w:pPr>
              <w:rPr>
                <w:rFonts w:cs="Times New Roman"/>
                <w:b/>
              </w:rPr>
            </w:pPr>
            <w:r>
              <w:rPr>
                <w:rFonts w:cs="Times New Roman"/>
                <w:b/>
              </w:rPr>
              <w:t>P-value</w:t>
            </w:r>
          </w:p>
        </w:tc>
        <w:tc>
          <w:tcPr>
            <w:tcW w:w="1559" w:type="dxa"/>
            <w:tcBorders>
              <w:left w:val="nil"/>
              <w:bottom w:val="single" w:color="auto" w:sz="4" w:space="0"/>
              <w:right w:val="nil"/>
            </w:tcBorders>
          </w:tcPr>
          <w:p w14:paraId="252CACBA">
            <w:pPr>
              <w:rPr>
                <w:rFonts w:cs="Times New Roman"/>
                <w:b/>
              </w:rPr>
            </w:pPr>
            <w:r>
              <w:rPr>
                <w:rFonts w:cs="Times New Roman"/>
                <w:b/>
              </w:rPr>
              <w:t>SI(Stimulation indices)</w:t>
            </w:r>
          </w:p>
        </w:tc>
      </w:tr>
      <w:tr w14:paraId="637C2618">
        <w:tblPrEx>
          <w:tblCellMar>
            <w:top w:w="0" w:type="dxa"/>
            <w:left w:w="108" w:type="dxa"/>
            <w:bottom w:w="0" w:type="dxa"/>
            <w:right w:w="108" w:type="dxa"/>
          </w:tblCellMar>
        </w:tblPrEx>
        <w:trPr>
          <w:trHeight w:val="387" w:hRule="atLeast"/>
        </w:trPr>
        <w:tc>
          <w:tcPr>
            <w:tcW w:w="1101" w:type="dxa"/>
            <w:vMerge w:val="restart"/>
            <w:tcBorders>
              <w:left w:val="nil"/>
              <w:right w:val="nil"/>
            </w:tcBorders>
          </w:tcPr>
          <w:p w14:paraId="46760B79">
            <w:pPr>
              <w:rPr>
                <w:rFonts w:cs="Times New Roman"/>
              </w:rPr>
            </w:pPr>
            <w:r>
              <w:rPr>
                <w:rFonts w:cs="Times New Roman"/>
              </w:rPr>
              <w:t>HB1/</w:t>
            </w:r>
          </w:p>
          <w:p w14:paraId="0B28B1DD">
            <w:pPr>
              <w:rPr>
                <w:rFonts w:cs="Times New Roman"/>
              </w:rPr>
            </w:pPr>
            <w:r>
              <w:rPr>
                <w:rFonts w:cs="Times New Roman"/>
              </w:rPr>
              <w:t>LaSota</w:t>
            </w:r>
          </w:p>
        </w:tc>
        <w:tc>
          <w:tcPr>
            <w:tcW w:w="2126" w:type="dxa"/>
            <w:tcBorders>
              <w:top w:val="nil"/>
              <w:left w:val="nil"/>
              <w:bottom w:val="nil"/>
              <w:right w:val="nil"/>
            </w:tcBorders>
          </w:tcPr>
          <w:p w14:paraId="4DF13F91">
            <w:pPr>
              <w:rPr>
                <w:rFonts w:cs="Times New Roman"/>
              </w:rPr>
            </w:pPr>
            <w:r>
              <w:rPr>
                <w:rFonts w:cs="Times New Roman"/>
              </w:rPr>
              <w:t>Honey+vaccine</w:t>
            </w:r>
          </w:p>
        </w:tc>
        <w:tc>
          <w:tcPr>
            <w:tcW w:w="992" w:type="dxa"/>
            <w:tcBorders>
              <w:top w:val="nil"/>
              <w:left w:val="nil"/>
              <w:bottom w:val="nil"/>
              <w:right w:val="nil"/>
            </w:tcBorders>
          </w:tcPr>
          <w:p w14:paraId="243C8A7C">
            <w:pPr>
              <w:rPr>
                <w:rFonts w:cs="Times New Roman"/>
              </w:rPr>
            </w:pPr>
            <w:r>
              <w:rPr>
                <w:rFonts w:cs="Times New Roman"/>
              </w:rPr>
              <w:t>0.11</w:t>
            </w:r>
          </w:p>
        </w:tc>
        <w:tc>
          <w:tcPr>
            <w:tcW w:w="1450" w:type="dxa"/>
            <w:tcBorders>
              <w:top w:val="nil"/>
              <w:left w:val="nil"/>
              <w:bottom w:val="nil"/>
              <w:right w:val="nil"/>
            </w:tcBorders>
          </w:tcPr>
          <w:p w14:paraId="27F2152E">
            <w:pPr>
              <w:rPr>
                <w:rFonts w:cs="Times New Roman"/>
              </w:rPr>
            </w:pPr>
            <w:r>
              <w:rPr>
                <w:rFonts w:cs="Times New Roman"/>
              </w:rPr>
              <w:t xml:space="preserve">0.0047 </w:t>
            </w:r>
          </w:p>
        </w:tc>
        <w:tc>
          <w:tcPr>
            <w:tcW w:w="960" w:type="dxa"/>
            <w:tcBorders>
              <w:top w:val="nil"/>
              <w:left w:val="nil"/>
              <w:bottom w:val="nil"/>
              <w:right w:val="nil"/>
            </w:tcBorders>
          </w:tcPr>
          <w:p w14:paraId="20469DB8">
            <w:pPr>
              <w:rPr>
                <w:rFonts w:cs="Times New Roman"/>
              </w:rPr>
            </w:pPr>
            <w:r>
              <w:rPr>
                <w:rFonts w:cs="Times New Roman"/>
              </w:rPr>
              <w:t>0.0000</w:t>
            </w:r>
          </w:p>
        </w:tc>
        <w:tc>
          <w:tcPr>
            <w:tcW w:w="1559" w:type="dxa"/>
            <w:tcBorders>
              <w:top w:val="nil"/>
              <w:left w:val="nil"/>
              <w:bottom w:val="nil"/>
              <w:right w:val="nil"/>
            </w:tcBorders>
          </w:tcPr>
          <w:p w14:paraId="59511436">
            <w:pPr>
              <w:rPr>
                <w:rFonts w:cs="Times New Roman"/>
              </w:rPr>
            </w:pPr>
            <w:r>
              <w:rPr>
                <w:rFonts w:cs="Times New Roman"/>
              </w:rPr>
              <w:t>2.53</w:t>
            </w:r>
          </w:p>
        </w:tc>
      </w:tr>
      <w:tr w14:paraId="687FD4F8">
        <w:tblPrEx>
          <w:tblCellMar>
            <w:top w:w="0" w:type="dxa"/>
            <w:left w:w="108" w:type="dxa"/>
            <w:bottom w:w="0" w:type="dxa"/>
            <w:right w:w="108" w:type="dxa"/>
          </w:tblCellMar>
        </w:tblPrEx>
        <w:tc>
          <w:tcPr>
            <w:tcW w:w="1101" w:type="dxa"/>
            <w:vMerge w:val="continue"/>
            <w:tcBorders>
              <w:left w:val="nil"/>
              <w:bottom w:val="nil"/>
              <w:right w:val="nil"/>
            </w:tcBorders>
          </w:tcPr>
          <w:p w14:paraId="71CCB7B2">
            <w:pPr>
              <w:rPr>
                <w:rFonts w:cs="Times New Roman"/>
              </w:rPr>
            </w:pPr>
          </w:p>
        </w:tc>
        <w:tc>
          <w:tcPr>
            <w:tcW w:w="2126" w:type="dxa"/>
            <w:tcBorders>
              <w:top w:val="nil"/>
              <w:left w:val="nil"/>
              <w:bottom w:val="nil"/>
              <w:right w:val="nil"/>
            </w:tcBorders>
          </w:tcPr>
          <w:p w14:paraId="0B9B98EA">
            <w:pPr>
              <w:rPr>
                <w:rFonts w:cs="Times New Roman"/>
              </w:rPr>
            </w:pPr>
            <w:r>
              <w:rPr>
                <w:rFonts w:cs="Times New Roman"/>
              </w:rPr>
              <w:t>HB1/LaSota vaccine</w:t>
            </w:r>
          </w:p>
        </w:tc>
        <w:tc>
          <w:tcPr>
            <w:tcW w:w="992" w:type="dxa"/>
            <w:tcBorders>
              <w:top w:val="nil"/>
              <w:left w:val="nil"/>
              <w:bottom w:val="nil"/>
              <w:right w:val="nil"/>
            </w:tcBorders>
          </w:tcPr>
          <w:p w14:paraId="4D3BE1CE">
            <w:pPr>
              <w:rPr>
                <w:rFonts w:cs="Times New Roman"/>
              </w:rPr>
            </w:pPr>
            <w:r>
              <w:rPr>
                <w:rFonts w:cs="Times New Roman"/>
              </w:rPr>
              <w:t>0.10</w:t>
            </w:r>
          </w:p>
        </w:tc>
        <w:tc>
          <w:tcPr>
            <w:tcW w:w="1450" w:type="dxa"/>
            <w:tcBorders>
              <w:top w:val="nil"/>
              <w:left w:val="nil"/>
              <w:bottom w:val="nil"/>
              <w:right w:val="nil"/>
            </w:tcBorders>
          </w:tcPr>
          <w:p w14:paraId="36C7E89D">
            <w:pPr>
              <w:rPr>
                <w:rFonts w:cs="Times New Roman"/>
              </w:rPr>
            </w:pPr>
            <w:r>
              <w:rPr>
                <w:rFonts w:cs="Times New Roman"/>
              </w:rPr>
              <w:t xml:space="preserve">0.0039 </w:t>
            </w:r>
          </w:p>
        </w:tc>
        <w:tc>
          <w:tcPr>
            <w:tcW w:w="960" w:type="dxa"/>
            <w:tcBorders>
              <w:top w:val="nil"/>
              <w:left w:val="nil"/>
              <w:bottom w:val="nil"/>
              <w:right w:val="nil"/>
            </w:tcBorders>
          </w:tcPr>
          <w:p w14:paraId="28B62B13">
            <w:pPr>
              <w:rPr>
                <w:rFonts w:cs="Times New Roman"/>
              </w:rPr>
            </w:pPr>
            <w:r>
              <w:rPr>
                <w:rFonts w:cs="Times New Roman"/>
              </w:rPr>
              <w:t>0.0000</w:t>
            </w:r>
          </w:p>
        </w:tc>
        <w:tc>
          <w:tcPr>
            <w:tcW w:w="1559" w:type="dxa"/>
            <w:tcBorders>
              <w:top w:val="nil"/>
              <w:left w:val="nil"/>
              <w:bottom w:val="nil"/>
              <w:right w:val="nil"/>
            </w:tcBorders>
          </w:tcPr>
          <w:p w14:paraId="0F203F9C">
            <w:pPr>
              <w:rPr>
                <w:rFonts w:cs="Times New Roman"/>
              </w:rPr>
            </w:pPr>
            <w:r>
              <w:rPr>
                <w:rFonts w:cs="Times New Roman"/>
              </w:rPr>
              <w:t>2.35</w:t>
            </w:r>
          </w:p>
        </w:tc>
      </w:tr>
      <w:tr w14:paraId="4E5A8C4A">
        <w:tblPrEx>
          <w:tblCellMar>
            <w:top w:w="0" w:type="dxa"/>
            <w:left w:w="108" w:type="dxa"/>
            <w:bottom w:w="0" w:type="dxa"/>
            <w:right w:w="108" w:type="dxa"/>
          </w:tblCellMar>
        </w:tblPrEx>
        <w:trPr>
          <w:trHeight w:val="401" w:hRule="atLeast"/>
        </w:trPr>
        <w:tc>
          <w:tcPr>
            <w:tcW w:w="1101" w:type="dxa"/>
            <w:vMerge w:val="restart"/>
            <w:tcBorders>
              <w:top w:val="single" w:color="auto" w:sz="4" w:space="0"/>
              <w:left w:val="nil"/>
              <w:bottom w:val="nil"/>
              <w:right w:val="nil"/>
            </w:tcBorders>
          </w:tcPr>
          <w:p w14:paraId="36BE15CA">
            <w:pPr>
              <w:rPr>
                <w:rFonts w:cs="Times New Roman"/>
              </w:rPr>
            </w:pPr>
            <w:r>
              <w:rPr>
                <w:rFonts w:cs="Times New Roman"/>
              </w:rPr>
              <w:t>Thermostable-I2</w:t>
            </w:r>
          </w:p>
        </w:tc>
        <w:tc>
          <w:tcPr>
            <w:tcW w:w="2126" w:type="dxa"/>
            <w:tcBorders>
              <w:top w:val="nil"/>
              <w:left w:val="nil"/>
              <w:bottom w:val="nil"/>
              <w:right w:val="nil"/>
            </w:tcBorders>
          </w:tcPr>
          <w:p w14:paraId="3ECE9329">
            <w:pPr>
              <w:rPr>
                <w:rFonts w:cs="Times New Roman"/>
              </w:rPr>
            </w:pPr>
            <w:r>
              <w:rPr>
                <w:rFonts w:cs="Times New Roman"/>
              </w:rPr>
              <w:t>Honey with vaccine</w:t>
            </w:r>
          </w:p>
        </w:tc>
        <w:tc>
          <w:tcPr>
            <w:tcW w:w="992" w:type="dxa"/>
            <w:tcBorders>
              <w:top w:val="nil"/>
              <w:left w:val="nil"/>
              <w:bottom w:val="nil"/>
              <w:right w:val="nil"/>
            </w:tcBorders>
          </w:tcPr>
          <w:p w14:paraId="031A6DC5">
            <w:pPr>
              <w:rPr>
                <w:rFonts w:cs="Times New Roman"/>
              </w:rPr>
            </w:pPr>
            <w:r>
              <w:rPr>
                <w:rFonts w:cs="Times New Roman"/>
              </w:rPr>
              <w:t>0.10</w:t>
            </w:r>
          </w:p>
        </w:tc>
        <w:tc>
          <w:tcPr>
            <w:tcW w:w="1450" w:type="dxa"/>
            <w:tcBorders>
              <w:top w:val="nil"/>
              <w:left w:val="nil"/>
              <w:bottom w:val="nil"/>
              <w:right w:val="nil"/>
            </w:tcBorders>
          </w:tcPr>
          <w:p w14:paraId="48F5B1AA">
            <w:pPr>
              <w:rPr>
                <w:rFonts w:cs="Times New Roman"/>
              </w:rPr>
            </w:pPr>
            <w:r>
              <w:rPr>
                <w:rFonts w:cs="Times New Roman"/>
              </w:rPr>
              <w:t>0.0037</w:t>
            </w:r>
          </w:p>
        </w:tc>
        <w:tc>
          <w:tcPr>
            <w:tcW w:w="960" w:type="dxa"/>
            <w:tcBorders>
              <w:top w:val="nil"/>
              <w:left w:val="nil"/>
              <w:bottom w:val="nil"/>
              <w:right w:val="nil"/>
            </w:tcBorders>
          </w:tcPr>
          <w:p w14:paraId="5419CA38">
            <w:pPr>
              <w:rPr>
                <w:rFonts w:cs="Times New Roman"/>
              </w:rPr>
            </w:pPr>
            <w:r>
              <w:rPr>
                <w:rFonts w:cs="Times New Roman"/>
              </w:rPr>
              <w:t>0.0000</w:t>
            </w:r>
          </w:p>
        </w:tc>
        <w:tc>
          <w:tcPr>
            <w:tcW w:w="1559" w:type="dxa"/>
            <w:tcBorders>
              <w:top w:val="nil"/>
              <w:left w:val="nil"/>
              <w:bottom w:val="nil"/>
              <w:right w:val="nil"/>
            </w:tcBorders>
          </w:tcPr>
          <w:p w14:paraId="329FA0D0">
            <w:pPr>
              <w:rPr>
                <w:rFonts w:cs="Times New Roman"/>
              </w:rPr>
            </w:pPr>
            <w:r>
              <w:rPr>
                <w:rFonts w:cs="Times New Roman"/>
              </w:rPr>
              <w:t>2.3</w:t>
            </w:r>
          </w:p>
        </w:tc>
      </w:tr>
      <w:tr w14:paraId="61E3296B">
        <w:tblPrEx>
          <w:tblCellMar>
            <w:top w:w="0" w:type="dxa"/>
            <w:left w:w="108" w:type="dxa"/>
            <w:bottom w:w="0" w:type="dxa"/>
            <w:right w:w="108" w:type="dxa"/>
          </w:tblCellMar>
        </w:tblPrEx>
        <w:trPr>
          <w:trHeight w:val="431" w:hRule="atLeast"/>
        </w:trPr>
        <w:tc>
          <w:tcPr>
            <w:tcW w:w="1101" w:type="dxa"/>
            <w:vMerge w:val="continue"/>
            <w:tcBorders>
              <w:top w:val="nil"/>
              <w:left w:val="nil"/>
              <w:bottom w:val="single" w:color="auto" w:sz="4" w:space="0"/>
              <w:right w:val="nil"/>
            </w:tcBorders>
          </w:tcPr>
          <w:p w14:paraId="5FB1BAC4">
            <w:pPr>
              <w:rPr>
                <w:rFonts w:cs="Times New Roman"/>
              </w:rPr>
            </w:pPr>
          </w:p>
        </w:tc>
        <w:tc>
          <w:tcPr>
            <w:tcW w:w="2126" w:type="dxa"/>
            <w:tcBorders>
              <w:top w:val="nil"/>
              <w:left w:val="nil"/>
              <w:bottom w:val="nil"/>
              <w:right w:val="nil"/>
            </w:tcBorders>
          </w:tcPr>
          <w:p w14:paraId="63D20D6E">
            <w:pPr>
              <w:rPr>
                <w:rFonts w:cs="Times New Roman"/>
              </w:rPr>
            </w:pPr>
            <w:r>
              <w:rPr>
                <w:rFonts w:cs="Times New Roman"/>
              </w:rPr>
              <w:t>Vaccine only</w:t>
            </w:r>
          </w:p>
        </w:tc>
        <w:tc>
          <w:tcPr>
            <w:tcW w:w="992" w:type="dxa"/>
            <w:tcBorders>
              <w:top w:val="nil"/>
              <w:left w:val="nil"/>
              <w:bottom w:val="nil"/>
              <w:right w:val="nil"/>
            </w:tcBorders>
          </w:tcPr>
          <w:p w14:paraId="79DD79FB">
            <w:pPr>
              <w:rPr>
                <w:rFonts w:cs="Times New Roman"/>
              </w:rPr>
            </w:pPr>
            <w:r>
              <w:rPr>
                <w:rFonts w:cs="Times New Roman"/>
              </w:rPr>
              <w:t>0.099</w:t>
            </w:r>
          </w:p>
        </w:tc>
        <w:tc>
          <w:tcPr>
            <w:tcW w:w="1450" w:type="dxa"/>
            <w:tcBorders>
              <w:top w:val="nil"/>
              <w:left w:val="nil"/>
              <w:bottom w:val="nil"/>
              <w:right w:val="nil"/>
            </w:tcBorders>
          </w:tcPr>
          <w:p w14:paraId="7690729A">
            <w:pPr>
              <w:rPr>
                <w:rFonts w:cs="Times New Roman"/>
              </w:rPr>
            </w:pPr>
            <w:r>
              <w:rPr>
                <w:rFonts w:cs="Times New Roman"/>
              </w:rPr>
              <w:t xml:space="preserve">0.0036 </w:t>
            </w:r>
          </w:p>
        </w:tc>
        <w:tc>
          <w:tcPr>
            <w:tcW w:w="960" w:type="dxa"/>
            <w:tcBorders>
              <w:top w:val="nil"/>
              <w:left w:val="nil"/>
              <w:bottom w:val="nil"/>
              <w:right w:val="nil"/>
            </w:tcBorders>
          </w:tcPr>
          <w:p w14:paraId="7D67D662">
            <w:pPr>
              <w:rPr>
                <w:rFonts w:cs="Times New Roman"/>
              </w:rPr>
            </w:pPr>
            <w:r>
              <w:rPr>
                <w:rFonts w:cs="Times New Roman"/>
              </w:rPr>
              <w:t>0.0000</w:t>
            </w:r>
          </w:p>
        </w:tc>
        <w:tc>
          <w:tcPr>
            <w:tcW w:w="1559" w:type="dxa"/>
            <w:tcBorders>
              <w:top w:val="nil"/>
              <w:left w:val="nil"/>
              <w:bottom w:val="nil"/>
              <w:right w:val="nil"/>
            </w:tcBorders>
          </w:tcPr>
          <w:p w14:paraId="01A3E485">
            <w:pPr>
              <w:rPr>
                <w:rFonts w:cs="Times New Roman"/>
              </w:rPr>
            </w:pPr>
            <w:r>
              <w:rPr>
                <w:rFonts w:cs="Times New Roman"/>
              </w:rPr>
              <w:t>2.26</w:t>
            </w:r>
          </w:p>
        </w:tc>
      </w:tr>
      <w:tr w14:paraId="0C8CE21A">
        <w:tblPrEx>
          <w:tblCellMar>
            <w:top w:w="0" w:type="dxa"/>
            <w:left w:w="108" w:type="dxa"/>
            <w:bottom w:w="0" w:type="dxa"/>
            <w:right w:w="108" w:type="dxa"/>
          </w:tblCellMar>
        </w:tblPrEx>
        <w:trPr>
          <w:trHeight w:val="559" w:hRule="atLeast"/>
        </w:trPr>
        <w:tc>
          <w:tcPr>
            <w:tcW w:w="1101" w:type="dxa"/>
            <w:vMerge w:val="restart"/>
            <w:tcBorders>
              <w:left w:val="nil"/>
              <w:right w:val="nil"/>
            </w:tcBorders>
          </w:tcPr>
          <w:p w14:paraId="3B355CA4">
            <w:pPr>
              <w:rPr>
                <w:rFonts w:cs="Times New Roman"/>
              </w:rPr>
            </w:pPr>
            <w:r>
              <w:rPr>
                <w:rFonts w:cs="Times New Roman"/>
              </w:rPr>
              <w:t>Unvaccinated</w:t>
            </w:r>
          </w:p>
        </w:tc>
        <w:tc>
          <w:tcPr>
            <w:tcW w:w="2126" w:type="dxa"/>
            <w:tcBorders>
              <w:top w:val="single" w:color="auto" w:sz="4" w:space="0"/>
              <w:left w:val="nil"/>
              <w:bottom w:val="nil"/>
              <w:right w:val="nil"/>
            </w:tcBorders>
          </w:tcPr>
          <w:p w14:paraId="3B8327AE">
            <w:pPr>
              <w:rPr>
                <w:rFonts w:cs="Times New Roman"/>
              </w:rPr>
            </w:pPr>
            <w:r>
              <w:rPr>
                <w:rFonts w:cs="Times New Roman"/>
              </w:rPr>
              <w:t xml:space="preserve">Honey </w:t>
            </w:r>
          </w:p>
        </w:tc>
        <w:tc>
          <w:tcPr>
            <w:tcW w:w="992" w:type="dxa"/>
            <w:tcBorders>
              <w:top w:val="single" w:color="auto" w:sz="4" w:space="0"/>
              <w:left w:val="nil"/>
              <w:bottom w:val="nil"/>
              <w:right w:val="nil"/>
            </w:tcBorders>
          </w:tcPr>
          <w:p w14:paraId="1BF2DBA3">
            <w:pPr>
              <w:rPr>
                <w:rFonts w:cs="Times New Roman"/>
              </w:rPr>
            </w:pPr>
            <w:r>
              <w:rPr>
                <w:rFonts w:cs="Times New Roman"/>
              </w:rPr>
              <w:t>0.099</w:t>
            </w:r>
          </w:p>
        </w:tc>
        <w:tc>
          <w:tcPr>
            <w:tcW w:w="1450" w:type="dxa"/>
            <w:tcBorders>
              <w:top w:val="single" w:color="auto" w:sz="4" w:space="0"/>
              <w:left w:val="nil"/>
              <w:bottom w:val="nil"/>
              <w:right w:val="nil"/>
            </w:tcBorders>
          </w:tcPr>
          <w:p w14:paraId="756D2ACD">
            <w:pPr>
              <w:rPr>
                <w:rFonts w:cs="Times New Roman"/>
              </w:rPr>
            </w:pPr>
            <w:r>
              <w:rPr>
                <w:rFonts w:cs="Times New Roman"/>
              </w:rPr>
              <w:t xml:space="preserve">0.0064 </w:t>
            </w:r>
          </w:p>
        </w:tc>
        <w:tc>
          <w:tcPr>
            <w:tcW w:w="960" w:type="dxa"/>
            <w:tcBorders>
              <w:top w:val="single" w:color="auto" w:sz="4" w:space="0"/>
              <w:left w:val="nil"/>
              <w:bottom w:val="nil"/>
              <w:right w:val="nil"/>
            </w:tcBorders>
          </w:tcPr>
          <w:p w14:paraId="3C2ED238">
            <w:pPr>
              <w:rPr>
                <w:rFonts w:cs="Times New Roman"/>
              </w:rPr>
            </w:pPr>
            <w:r>
              <w:rPr>
                <w:rFonts w:cs="Times New Roman"/>
              </w:rPr>
              <w:t>0.0000</w:t>
            </w:r>
          </w:p>
        </w:tc>
        <w:tc>
          <w:tcPr>
            <w:tcW w:w="1559" w:type="dxa"/>
            <w:tcBorders>
              <w:top w:val="single" w:color="auto" w:sz="4" w:space="0"/>
              <w:left w:val="nil"/>
              <w:bottom w:val="nil"/>
              <w:right w:val="nil"/>
            </w:tcBorders>
          </w:tcPr>
          <w:p w14:paraId="5FD579DA">
            <w:pPr>
              <w:rPr>
                <w:rFonts w:cs="Times New Roman"/>
              </w:rPr>
            </w:pPr>
            <w:r>
              <w:rPr>
                <w:rFonts w:cs="Times New Roman"/>
              </w:rPr>
              <w:t>2.25</w:t>
            </w:r>
          </w:p>
        </w:tc>
      </w:tr>
      <w:tr w14:paraId="3F93A9C0">
        <w:tblPrEx>
          <w:tblCellMar>
            <w:top w:w="0" w:type="dxa"/>
            <w:left w:w="108" w:type="dxa"/>
            <w:bottom w:w="0" w:type="dxa"/>
            <w:right w:w="108" w:type="dxa"/>
          </w:tblCellMar>
        </w:tblPrEx>
        <w:trPr>
          <w:trHeight w:val="564" w:hRule="atLeast"/>
        </w:trPr>
        <w:tc>
          <w:tcPr>
            <w:tcW w:w="1101" w:type="dxa"/>
            <w:vMerge w:val="continue"/>
            <w:tcBorders>
              <w:left w:val="nil"/>
              <w:right w:val="nil"/>
            </w:tcBorders>
          </w:tcPr>
          <w:p w14:paraId="7179CBD5">
            <w:pPr>
              <w:rPr>
                <w:rFonts w:cs="Times New Roman"/>
              </w:rPr>
            </w:pPr>
          </w:p>
        </w:tc>
        <w:tc>
          <w:tcPr>
            <w:tcW w:w="2126" w:type="dxa"/>
            <w:tcBorders>
              <w:top w:val="nil"/>
              <w:left w:val="nil"/>
              <w:right w:val="nil"/>
            </w:tcBorders>
          </w:tcPr>
          <w:p w14:paraId="24CED494">
            <w:pPr>
              <w:rPr>
                <w:rFonts w:cs="Times New Roman"/>
              </w:rPr>
            </w:pPr>
            <w:r>
              <w:rPr>
                <w:rFonts w:cs="Times New Roman"/>
              </w:rPr>
              <w:t xml:space="preserve">Control </w:t>
            </w:r>
          </w:p>
        </w:tc>
        <w:tc>
          <w:tcPr>
            <w:tcW w:w="992" w:type="dxa"/>
            <w:tcBorders>
              <w:top w:val="nil"/>
              <w:left w:val="nil"/>
              <w:right w:val="nil"/>
            </w:tcBorders>
          </w:tcPr>
          <w:p w14:paraId="19BB5F5B">
            <w:pPr>
              <w:rPr>
                <w:rFonts w:cs="Times New Roman"/>
              </w:rPr>
            </w:pPr>
            <w:r>
              <w:rPr>
                <w:rFonts w:cs="Times New Roman"/>
              </w:rPr>
              <w:t>0.064</w:t>
            </w:r>
          </w:p>
        </w:tc>
        <w:tc>
          <w:tcPr>
            <w:tcW w:w="1450" w:type="dxa"/>
            <w:tcBorders>
              <w:top w:val="nil"/>
              <w:left w:val="nil"/>
              <w:right w:val="nil"/>
            </w:tcBorders>
          </w:tcPr>
          <w:p w14:paraId="70724AFD">
            <w:pPr>
              <w:rPr>
                <w:rFonts w:cs="Times New Roman"/>
              </w:rPr>
            </w:pPr>
            <w:r>
              <w:rPr>
                <w:rFonts w:cs="Times New Roman"/>
              </w:rPr>
              <w:t>Ref.</w:t>
            </w:r>
          </w:p>
        </w:tc>
        <w:tc>
          <w:tcPr>
            <w:tcW w:w="960" w:type="dxa"/>
            <w:tcBorders>
              <w:top w:val="nil"/>
              <w:left w:val="nil"/>
              <w:right w:val="nil"/>
            </w:tcBorders>
          </w:tcPr>
          <w:p w14:paraId="26738EEF">
            <w:pPr>
              <w:rPr>
                <w:rFonts w:cs="Times New Roman"/>
              </w:rPr>
            </w:pPr>
          </w:p>
        </w:tc>
        <w:tc>
          <w:tcPr>
            <w:tcW w:w="1559" w:type="dxa"/>
            <w:tcBorders>
              <w:top w:val="nil"/>
              <w:left w:val="nil"/>
              <w:right w:val="nil"/>
            </w:tcBorders>
          </w:tcPr>
          <w:p w14:paraId="407992B3">
            <w:pPr>
              <w:rPr>
                <w:rFonts w:cs="Times New Roman"/>
              </w:rPr>
            </w:pPr>
            <w:r>
              <w:rPr>
                <w:rFonts w:cs="Times New Roman"/>
              </w:rPr>
              <w:t>1.45</w:t>
            </w:r>
          </w:p>
        </w:tc>
      </w:tr>
    </w:tbl>
    <w:p w14:paraId="3CBEECB3">
      <w:pPr>
        <w:rPr>
          <w:rFonts w:cs="Times New Roman"/>
          <w:sz w:val="22"/>
        </w:rPr>
      </w:pPr>
    </w:p>
    <w:p w14:paraId="1F706847">
      <w:pPr>
        <w:pStyle w:val="3"/>
        <w:spacing w:before="0" w:after="0"/>
      </w:pPr>
      <w:bookmarkStart w:id="96" w:name="_Toc170937984"/>
      <w:bookmarkStart w:id="97" w:name="_Toc168390164"/>
      <w:bookmarkStart w:id="98" w:name="_Toc168523148"/>
      <w:r>
        <w:t>4.3. Clinical Signs Observed</w:t>
      </w:r>
      <w:bookmarkEnd w:id="96"/>
      <w:bookmarkEnd w:id="97"/>
      <w:bookmarkEnd w:id="98"/>
    </w:p>
    <w:p w14:paraId="24A37C0D">
      <w:pPr>
        <w:spacing w:line="240" w:lineRule="auto"/>
      </w:pPr>
    </w:p>
    <w:p w14:paraId="3C46543D">
      <w:r>
        <w:t>Affected birds seemed healthy on the day post-challenge, till 48hrs after the challenge. Reduction in feed intake, greenish diarrhea, mild to moderate depression, incoordination and lethargy, fluffed feathers, and respiratory distress with gasping and sneezing within 2-15 day post-challenge (dpc) were among the clinical signs. Within 2-15 dpc, nervous symptoms included wing drop, circling, torticollis, leg paralysis, prostration, and death. Six of the control group's chickens died on the sixth day following the challenge, and further symptoms started to appear in other chicks. Six parasite-infected, unvaccinated chicks perished within ten days of the challenge, with the first fatality in the parasite infected only group occurring on the fourth day following the challenge. Two were died in the honey fed only group. Following a fifteen-day post-challenge period, every bird was sacrificed. Some targeted for postmortem and others were due to animal welfare issue.</w:t>
      </w:r>
    </w:p>
    <w:p w14:paraId="32502CFF">
      <w:pPr>
        <w:spacing w:line="240" w:lineRule="auto"/>
      </w:pPr>
    </w:p>
    <w:p w14:paraId="156DA550">
      <w:pPr>
        <w:pStyle w:val="3"/>
        <w:spacing w:before="0" w:after="0"/>
      </w:pPr>
      <w:bookmarkStart w:id="99" w:name="_Toc168390165"/>
      <w:bookmarkStart w:id="100" w:name="_Toc168523149"/>
      <w:bookmarkStart w:id="101" w:name="_Toc170937985"/>
      <w:r>
        <w:t>4.4. Protection Results/Determination of the Vaccines Efficacy</w:t>
      </w:r>
      <w:bookmarkEnd w:id="99"/>
      <w:bookmarkEnd w:id="100"/>
      <w:bookmarkEnd w:id="101"/>
    </w:p>
    <w:p w14:paraId="5630B8F6">
      <w:r>
        <w:t>The survival of chickens challenged with the Newcastle disease virus was significantly influenced by haemagglutination inhibition titres; that was, hens with greater HI titres were more likely to survive the challenge than those with lower titres. There were more survivors in the vaccinated, parasite-vaccinated and honey-vaccinated groups. Because the control and parasitized groups were not given any vaccination and hence low HI titres, as a result the low numbers of survivors in these groups compared to vaccinated and honey fed. There were no more mortality after day 10 post-challenge and all surviving chickens were euthanized after day 15 post-challenge. More than ninety percent of the chickens immunized by means of the vaccination and honey fed were survived.</w:t>
      </w:r>
      <w:bookmarkStart w:id="102" w:name="_Toc168390166"/>
      <w:bookmarkStart w:id="103" w:name="_Toc168523150"/>
    </w:p>
    <w:p w14:paraId="0CB8D3AB">
      <w:pPr>
        <w:pStyle w:val="3"/>
        <w:spacing w:before="0" w:after="0"/>
      </w:pPr>
      <w:bookmarkStart w:id="104" w:name="_Toc170937986"/>
      <w:r>
        <w:t>4.5. Necropsy Results</w:t>
      </w:r>
      <w:bookmarkEnd w:id="102"/>
      <w:bookmarkEnd w:id="103"/>
      <w:r>
        <w:t xml:space="preserve"> of Died Chicken</w:t>
      </w:r>
      <w:bookmarkEnd w:id="104"/>
    </w:p>
    <w:p w14:paraId="7B67E3A6">
      <w:r>
        <w:t>During necropsy, dead birds had distinct lesions, including petechial hemorrhages in the proventriculus, intestine, and caecal tonsils, edematous and diphtheria mucosal membrane in the trachea, petechial hemorrhage in the heart, and deep-green contents in the gastrointestinal tract ending with green faeces.</w:t>
      </w:r>
    </w:p>
    <w:p w14:paraId="57DB4C82">
      <w:pPr>
        <w:sectPr>
          <w:pgSz w:w="12240" w:h="15840"/>
          <w:pgMar w:top="1440" w:right="1440" w:bottom="1440" w:left="2160" w:header="720" w:footer="720" w:gutter="0"/>
          <w:cols w:space="720" w:num="1"/>
          <w:docGrid w:linePitch="360" w:charSpace="0"/>
        </w:sectPr>
      </w:pPr>
    </w:p>
    <w:p w14:paraId="63E64A6E">
      <w:pPr>
        <w:pStyle w:val="2"/>
      </w:pPr>
      <w:bookmarkStart w:id="105" w:name="_Toc170937987"/>
      <w:bookmarkStart w:id="106" w:name="_Toc168390167"/>
      <w:bookmarkStart w:id="107" w:name="_Toc168523151"/>
      <w:r>
        <w:t>5. DISCUSSION</w:t>
      </w:r>
      <w:bookmarkEnd w:id="105"/>
      <w:bookmarkEnd w:id="106"/>
      <w:bookmarkEnd w:id="107"/>
      <w:r>
        <w:t xml:space="preserve"> </w:t>
      </w:r>
    </w:p>
    <w:p w14:paraId="2D53EE3C">
      <w:pPr>
        <w:spacing w:line="240" w:lineRule="auto"/>
      </w:pPr>
    </w:p>
    <w:p w14:paraId="26EAFD10">
      <w:pPr>
        <w:spacing w:line="240" w:lineRule="auto"/>
      </w:pPr>
    </w:p>
    <w:p w14:paraId="3EF7AA7D">
      <w:r>
        <w:t xml:space="preserve">The HB1/LaSota and thermostable vaccines in Ethiopia produced by National Veterinary Institute (NVI) were effective because of initiating the high humoral immune response which resulted in high production of antibodies in chickens immunized by both vaccines and was mainly responsible for the protection observed when &gt;90% of birds survived following experimentally challenged with highly pathogenic ND virus this was align with the study conducted by Foster </w:t>
      </w:r>
      <w:r>
        <w:rPr>
          <w:i/>
        </w:rPr>
        <w:t>et al.</w:t>
      </w:r>
      <w:r>
        <w:t xml:space="preserve"> (1997) in Tanzania on thermostable vaccine through ocular route that had the protection level of more than 70%. Although the antibody titer was significant in parasite with vaccine, there was a reduction in the mean antibody titer production as compared with the vaccinated only groups in both vaccines. </w:t>
      </w:r>
    </w:p>
    <w:p w14:paraId="11EB008D">
      <w:pPr>
        <w:spacing w:line="240" w:lineRule="auto"/>
      </w:pPr>
    </w:p>
    <w:p w14:paraId="09FE3E22">
      <w:pPr>
        <w:rPr>
          <w:rFonts w:cs="Times New Roman"/>
        </w:rPr>
      </w:pPr>
      <w:r>
        <w:rPr>
          <w:rFonts w:cs="Times New Roman"/>
        </w:rPr>
        <w:t xml:space="preserve">A more robust NDV-specific humoral immune response was observed in birds from vaccinated groups. Positive haemagglutination inhibition results were observed in these groups. Birds from these groups reached the highest mean NDV titer level observed in group 5 (HB1 vaccinated and honey fed) with the mean HI titer of </w:t>
      </w:r>
      <w:r>
        <w:rPr>
          <w:rFonts w:cs="Times New Roman"/>
          <w:color w:val="000000"/>
        </w:rPr>
        <w:t>209.5 at 35</w:t>
      </w:r>
      <w:r>
        <w:rPr>
          <w:rFonts w:cs="Times New Roman"/>
          <w:color w:val="000000"/>
          <w:vertAlign w:val="superscript"/>
        </w:rPr>
        <w:t>th</w:t>
      </w:r>
      <w:r>
        <w:rPr>
          <w:rFonts w:cs="Times New Roman"/>
          <w:color w:val="000000"/>
        </w:rPr>
        <w:t xml:space="preserve"> date of sampling </w:t>
      </w:r>
      <w:r>
        <w:rPr>
          <w:rFonts w:cs="Times New Roman"/>
        </w:rPr>
        <w:t xml:space="preserve">in the trial, and their total mean titer level was significantly (P&lt;0.05) higher than control birds. This result was supported by the study done in Japan by Martinez </w:t>
      </w:r>
      <w:r>
        <w:rPr>
          <w:rFonts w:cs="Times New Roman"/>
          <w:i/>
        </w:rPr>
        <w:t>et al</w:t>
      </w:r>
      <w:r>
        <w:rPr>
          <w:rFonts w:cs="Times New Roman"/>
        </w:rPr>
        <w:t xml:space="preserve">. (2018) in which, </w:t>
      </w:r>
      <w:r>
        <w:t>birds reached a significantly (</w:t>
      </w:r>
      <w:r>
        <w:rPr>
          <w:rStyle w:val="14"/>
        </w:rPr>
        <w:t>P</w:t>
      </w:r>
      <w:r>
        <w:t xml:space="preserve"> &lt; 0.001) higher level of NDV titers at day 35 compared to other birds at that age and were able to mount the highest NDV-specific humoral immune response compared to all other treatments in the trial </w:t>
      </w:r>
      <w:r>
        <w:rPr>
          <w:rFonts w:cs="Times New Roman"/>
        </w:rPr>
        <w:t>and (</w:t>
      </w:r>
      <w:r>
        <w:rPr>
          <w:rFonts w:eastAsia="Times New Roman" w:cs="Times New Roman"/>
          <w:szCs w:val="24"/>
        </w:rPr>
        <w:t>Timms and Alexander, 1977)</w:t>
      </w:r>
      <w:r>
        <w:rPr>
          <w:rFonts w:cs="Times New Roman"/>
        </w:rPr>
        <w:t xml:space="preserve">. </w:t>
      </w:r>
    </w:p>
    <w:p w14:paraId="2B81FCD7">
      <w:pPr>
        <w:spacing w:line="240" w:lineRule="auto"/>
      </w:pPr>
    </w:p>
    <w:p w14:paraId="69FDAA6B">
      <w:pPr>
        <w:rPr>
          <w:rFonts w:eastAsia="Times New Roman" w:cs="Times New Roman"/>
          <w:szCs w:val="24"/>
        </w:rPr>
      </w:pPr>
      <w:r>
        <w:t xml:space="preserve">The results of the seroconversion using the NDV-vaccines showed a significant differences (P&lt;0.05) in all vaccines from this study. This also agreed with the higher levels in the group that had been vaccinated with the genotype VII vaccines and thus agreed with the previous reports by Nagy </w:t>
      </w:r>
      <w:r>
        <w:rPr>
          <w:i/>
        </w:rPr>
        <w:t>et al</w:t>
      </w:r>
      <w:r>
        <w:t>. (2020), who recorded variation in the cross HI assay among the LaSota and NDV genotype VII antigen that has been circulating in Egypt in recent years (</w:t>
      </w:r>
      <w:r>
        <w:rPr>
          <w:rFonts w:eastAsia="Times New Roman" w:cs="Times New Roman"/>
          <w:szCs w:val="24"/>
        </w:rPr>
        <w:t xml:space="preserve">Palya </w:t>
      </w:r>
      <w:r>
        <w:rPr>
          <w:rFonts w:eastAsia="Times New Roman" w:cs="Times New Roman"/>
          <w:i/>
          <w:szCs w:val="24"/>
        </w:rPr>
        <w:t>et al</w:t>
      </w:r>
      <w:r>
        <w:rPr>
          <w:rFonts w:eastAsia="Times New Roman" w:cs="Times New Roman"/>
          <w:szCs w:val="24"/>
        </w:rPr>
        <w:t>., 2012)</w:t>
      </w:r>
      <w:r>
        <w:t xml:space="preserve"> and the study done by </w:t>
      </w:r>
      <w:r>
        <w:rPr>
          <w:rFonts w:eastAsia="Times New Roman" w:cs="Times New Roman"/>
          <w:szCs w:val="24"/>
        </w:rPr>
        <w:t xml:space="preserve">Sultan </w:t>
      </w:r>
      <w:r>
        <w:rPr>
          <w:rFonts w:eastAsia="Times New Roman" w:cs="Times New Roman"/>
          <w:i/>
          <w:szCs w:val="24"/>
        </w:rPr>
        <w:t>et al</w:t>
      </w:r>
      <w:r>
        <w:rPr>
          <w:rFonts w:eastAsia="Times New Roman" w:cs="Times New Roman"/>
          <w:szCs w:val="24"/>
        </w:rPr>
        <w:t>. (2021).</w:t>
      </w:r>
    </w:p>
    <w:p w14:paraId="5B7413DF">
      <w:pPr>
        <w:spacing w:line="240" w:lineRule="auto"/>
        <w:rPr>
          <w:rFonts w:eastAsia="Times New Roman" w:cs="Times New Roman"/>
          <w:szCs w:val="24"/>
        </w:rPr>
      </w:pPr>
    </w:p>
    <w:p w14:paraId="33E7FE06">
      <w:r>
        <w:t xml:space="preserve">There was more death in the unvaccinated groups challenged with virulent strain virus as compared to the vaccinated one, there was no death in the vaccinated groups and there was an observation of gross pathological lesions and changes in some organs like in proventriculus, trachea, brain, spleen and hemorrhagic intestine in the dead birds. This high death rate and gross lesion observation results were supported by the study done by </w:t>
      </w:r>
      <w:r>
        <w:rPr>
          <w:rFonts w:eastAsia="Times New Roman" w:cs="Times New Roman"/>
          <w:szCs w:val="24"/>
        </w:rPr>
        <w:t xml:space="preserve">Al-Baroodi </w:t>
      </w:r>
      <w:r>
        <w:rPr>
          <w:rFonts w:eastAsia="Times New Roman" w:cs="Times New Roman"/>
          <w:i/>
          <w:szCs w:val="24"/>
        </w:rPr>
        <w:t>et al</w:t>
      </w:r>
      <w:r>
        <w:rPr>
          <w:rFonts w:eastAsia="Times New Roman" w:cs="Times New Roman"/>
          <w:szCs w:val="24"/>
        </w:rPr>
        <w:t>. (2008).</w:t>
      </w:r>
    </w:p>
    <w:p w14:paraId="5FAE63FB">
      <w:pPr>
        <w:spacing w:line="240" w:lineRule="auto"/>
      </w:pPr>
    </w:p>
    <w:p w14:paraId="15754A2B">
      <w:r>
        <w:rPr>
          <w:i/>
        </w:rPr>
        <w:t>Ascaridia galli</w:t>
      </w:r>
      <w:r>
        <w:t xml:space="preserve"> had negative effect on the increment of Newcastle vaccine antibody titers, because the parasite can feed the protein content of the chicken. It causes significant loss of tissue protein occurs through leakage into the stomach, which also results in inefficient protein absorption and utilization process, which may account for the decreased total protein levels (</w:t>
      </w:r>
      <w:r>
        <w:rPr>
          <w:rFonts w:eastAsia="Times New Roman" w:cs="Times New Roman"/>
          <w:szCs w:val="24"/>
        </w:rPr>
        <w:t>Ahmed</w:t>
      </w:r>
      <w:r>
        <w:t xml:space="preserve"> </w:t>
      </w:r>
      <w:r>
        <w:rPr>
          <w:i/>
        </w:rPr>
        <w:t>et al</w:t>
      </w:r>
      <w:r>
        <w:t xml:space="preserve">., 2015). These proteins were the main source of immunity to defend against the diseases. The reduction of the antibody titer developed by the vaccines leads to reduction of vaccine efficacy or that can lead the failure of the vaccine. Although the vaccines are in protective state there was also a reduction in the mean antibody titer of the vaccines that were given with the </w:t>
      </w:r>
      <w:r>
        <w:rPr>
          <w:i/>
        </w:rPr>
        <w:t>Ascaridia galli</w:t>
      </w:r>
      <w:r>
        <w:t>. Because their mean antibody titer was lower than the vaccinated only groups mean antibody titers.</w:t>
      </w:r>
    </w:p>
    <w:p w14:paraId="2C54790C">
      <w:pPr>
        <w:spacing w:line="240" w:lineRule="auto"/>
      </w:pPr>
    </w:p>
    <w:p w14:paraId="7A234CFA">
      <w:pPr>
        <w:rPr>
          <w:rFonts w:eastAsia="Times New Roman" w:cs="Times New Roman"/>
          <w:szCs w:val="24"/>
        </w:rPr>
      </w:pPr>
      <w:r>
        <w:t xml:space="preserve">The synthesis of immunoglobulins was reduced in chickens severely infected by the parasite, owing to an absolute loss of protein (Tizard, 1996), and this might result in a reduced humoral antibody response, as seen in this study, because the parasite infected groups had the mean antibody titer of </w:t>
      </w:r>
      <w:r>
        <w:rPr>
          <w:rFonts w:cs="Times New Roman"/>
          <w:szCs w:val="24"/>
        </w:rPr>
        <w:t>32.7</w:t>
      </w:r>
      <w:r>
        <w:t xml:space="preserve">. It was small amount as compared to the vaccinated groups (113.45 and 112.84 in HB1/LaSota and thermostable respectively). This was consistence with the study done by </w:t>
      </w:r>
      <w:r>
        <w:rPr>
          <w:rFonts w:eastAsia="Times New Roman" w:cs="Times New Roman"/>
          <w:szCs w:val="24"/>
        </w:rPr>
        <w:t xml:space="preserve">Hørning </w:t>
      </w:r>
      <w:r>
        <w:rPr>
          <w:rFonts w:eastAsia="Times New Roman" w:cs="Times New Roman"/>
          <w:i/>
          <w:szCs w:val="24"/>
        </w:rPr>
        <w:t>et al</w:t>
      </w:r>
      <w:r>
        <w:rPr>
          <w:rFonts w:eastAsia="Times New Roman" w:cs="Times New Roman"/>
          <w:szCs w:val="24"/>
        </w:rPr>
        <w:t xml:space="preserve">. (2003) on the effect of </w:t>
      </w:r>
      <w:r>
        <w:rPr>
          <w:rFonts w:eastAsia="Times New Roman" w:cs="Times New Roman"/>
          <w:i/>
          <w:szCs w:val="24"/>
        </w:rPr>
        <w:t>A.galli</w:t>
      </w:r>
      <w:r>
        <w:rPr>
          <w:rFonts w:eastAsia="Times New Roman" w:cs="Times New Roman"/>
          <w:szCs w:val="24"/>
        </w:rPr>
        <w:t xml:space="preserve"> on the humoral immune response of NCD vaccines. There is also a report of (Spradbrow, 1988); there is a failure of vaccine efficacy due to the result of an immune suppression by parasitism.</w:t>
      </w:r>
    </w:p>
    <w:p w14:paraId="7DA2CF08">
      <w:pPr>
        <w:spacing w:line="240" w:lineRule="auto"/>
        <w:rPr>
          <w:rFonts w:eastAsia="Times New Roman" w:cs="Times New Roman"/>
          <w:szCs w:val="24"/>
        </w:rPr>
      </w:pPr>
    </w:p>
    <w:p w14:paraId="30BCAB1E">
      <w:pPr>
        <w:rPr>
          <w:rFonts w:eastAsia="Times New Roman" w:cs="Times New Roman"/>
          <w:szCs w:val="24"/>
        </w:rPr>
      </w:pPr>
      <w:r>
        <w:rPr>
          <w:rFonts w:eastAsia="Times New Roman" w:cs="Times New Roman"/>
          <w:szCs w:val="24"/>
        </w:rPr>
        <w:t xml:space="preserve">Another study that backs up our work shows that parasite infections can have an impact on vaccinations for other infectious diseases in animal models, despite the fact that the helminth and the afflicted animals are distinct. According to reports, compared to animals that are not sick, cattle and mice that are infected with </w:t>
      </w:r>
      <w:r>
        <w:rPr>
          <w:rFonts w:eastAsia="Times New Roman" w:cs="Times New Roman"/>
          <w:i/>
          <w:szCs w:val="24"/>
        </w:rPr>
        <w:t>Toxocara canis</w:t>
      </w:r>
      <w:r>
        <w:rPr>
          <w:rFonts w:eastAsia="Times New Roman" w:cs="Times New Roman"/>
          <w:szCs w:val="24"/>
        </w:rPr>
        <w:t xml:space="preserve"> have lower antibody levels to the Bovine </w:t>
      </w:r>
      <w:r>
        <w:rPr>
          <w:rFonts w:eastAsia="Times New Roman" w:cs="Times New Roman"/>
          <w:i/>
          <w:szCs w:val="24"/>
        </w:rPr>
        <w:t>herpesvirus</w:t>
      </w:r>
      <w:r>
        <w:rPr>
          <w:rFonts w:eastAsia="Times New Roman" w:cs="Times New Roman"/>
          <w:szCs w:val="24"/>
        </w:rPr>
        <w:t xml:space="preserve"> type 5 (BoHV-5) vaccine (Menegon </w:t>
      </w:r>
      <w:r>
        <w:rPr>
          <w:rFonts w:eastAsia="Times New Roman" w:cs="Times New Roman"/>
          <w:i/>
          <w:szCs w:val="24"/>
        </w:rPr>
        <w:t>et al</w:t>
      </w:r>
      <w:r>
        <w:rPr>
          <w:rFonts w:eastAsia="Times New Roman" w:cs="Times New Roman"/>
          <w:szCs w:val="24"/>
        </w:rPr>
        <w:t xml:space="preserve">., 2020). A more robust vaccination regimen using recombinant live </w:t>
      </w:r>
      <w:r>
        <w:rPr>
          <w:rFonts w:eastAsia="Times New Roman" w:cs="Times New Roman"/>
          <w:i/>
          <w:szCs w:val="24"/>
        </w:rPr>
        <w:t>Salmonella berghei</w:t>
      </w:r>
      <w:r>
        <w:rPr>
          <w:rFonts w:eastAsia="Times New Roman" w:cs="Times New Roman"/>
          <w:szCs w:val="24"/>
        </w:rPr>
        <w:t xml:space="preserve">-expressing </w:t>
      </w:r>
      <w:r>
        <w:rPr>
          <w:rFonts w:eastAsia="Times New Roman" w:cs="Times New Roman"/>
          <w:i/>
          <w:szCs w:val="24"/>
        </w:rPr>
        <w:t>Plasmodium berghei</w:t>
      </w:r>
      <w:r>
        <w:rPr>
          <w:rFonts w:eastAsia="Times New Roman" w:cs="Times New Roman"/>
          <w:szCs w:val="24"/>
        </w:rPr>
        <w:t xml:space="preserve"> proteins can restore vaccination efficacy against </w:t>
      </w:r>
      <w:r>
        <w:rPr>
          <w:rFonts w:eastAsia="Times New Roman" w:cs="Times New Roman"/>
          <w:i/>
          <w:szCs w:val="24"/>
        </w:rPr>
        <w:t>P. berghei</w:t>
      </w:r>
      <w:r>
        <w:rPr>
          <w:rFonts w:eastAsia="Times New Roman" w:cs="Times New Roman"/>
          <w:szCs w:val="24"/>
        </w:rPr>
        <w:t xml:space="preserve">, as chronic </w:t>
      </w:r>
      <w:r>
        <w:rPr>
          <w:rFonts w:eastAsia="Times New Roman" w:cs="Times New Roman"/>
          <w:i/>
          <w:szCs w:val="24"/>
        </w:rPr>
        <w:t>L. sigmodontis</w:t>
      </w:r>
      <w:r>
        <w:rPr>
          <w:rFonts w:eastAsia="Times New Roman" w:cs="Times New Roman"/>
          <w:szCs w:val="24"/>
        </w:rPr>
        <w:t xml:space="preserve"> infection considerably reduces it (Kolbaum </w:t>
      </w:r>
      <w:r>
        <w:rPr>
          <w:rFonts w:eastAsia="Times New Roman" w:cs="Times New Roman"/>
          <w:i/>
          <w:szCs w:val="24"/>
        </w:rPr>
        <w:t>et al</w:t>
      </w:r>
      <w:r>
        <w:rPr>
          <w:rFonts w:eastAsia="Times New Roman" w:cs="Times New Roman"/>
          <w:szCs w:val="24"/>
        </w:rPr>
        <w:t xml:space="preserve">., 2012). </w:t>
      </w:r>
    </w:p>
    <w:p w14:paraId="1774AD1B">
      <w:pPr>
        <w:spacing w:line="240" w:lineRule="auto"/>
        <w:rPr>
          <w:rFonts w:eastAsia="Times New Roman" w:cs="Times New Roman"/>
          <w:szCs w:val="24"/>
        </w:rPr>
      </w:pPr>
    </w:p>
    <w:p w14:paraId="3A650C43">
      <w:r>
        <w:rPr>
          <w:rFonts w:eastAsia="Times New Roman" w:cs="Times New Roman"/>
          <w:szCs w:val="24"/>
        </w:rPr>
        <w:t>For instance the vaccinated and parasite challenged chickens are in protective state,</w:t>
      </w:r>
      <w:r>
        <w:t xml:space="preserve"> </w:t>
      </w:r>
      <w:r>
        <w:rPr>
          <w:rFonts w:eastAsia="Times New Roman" w:cs="Times New Roman"/>
          <w:szCs w:val="24"/>
        </w:rPr>
        <w:t xml:space="preserve">After being infected with 500 embryonated eggs of </w:t>
      </w:r>
      <w:r>
        <w:rPr>
          <w:rFonts w:eastAsia="Times New Roman" w:cs="Times New Roman"/>
          <w:i/>
          <w:szCs w:val="24"/>
        </w:rPr>
        <w:t>A. galli</w:t>
      </w:r>
      <w:r>
        <w:rPr>
          <w:rFonts w:eastAsia="Times New Roman" w:cs="Times New Roman"/>
          <w:szCs w:val="24"/>
        </w:rPr>
        <w:t>, Lohmann brown chickens show a significant increase (P&lt;0.05) in IgY concentrations following infection, in comparison to their control group (P&gt;0.05). These hens demonstrate an immunological response to these infections. This result was similar with the study done by Saadoon Ibadi Al-Alwani and Hamle Abid (2023).</w:t>
      </w:r>
    </w:p>
    <w:p w14:paraId="07B53660">
      <w:pPr>
        <w:spacing w:line="240" w:lineRule="auto"/>
        <w:rPr>
          <w:rFonts w:eastAsia="Times New Roman" w:cs="Times New Roman"/>
          <w:szCs w:val="24"/>
        </w:rPr>
      </w:pPr>
    </w:p>
    <w:p w14:paraId="1DB532DF">
      <w:pPr>
        <w:rPr>
          <w:rFonts w:eastAsia="Times New Roman" w:cs="Times New Roman"/>
          <w:szCs w:val="24"/>
        </w:rPr>
      </w:pPr>
      <w:r>
        <w:rPr>
          <w:rFonts w:eastAsia="Times New Roman" w:cs="Times New Roman"/>
          <w:szCs w:val="24"/>
        </w:rPr>
        <w:t xml:space="preserve">From this study as indicated in (Table 6), there was some difference of the parasite only infected and control group. The parasite only infected group has more antibody titer relative to the control one. It was supported by the studies of (Marcos-Atxutegi </w:t>
      </w:r>
      <w:r>
        <w:rPr>
          <w:rFonts w:eastAsia="Times New Roman" w:cs="Times New Roman"/>
          <w:i/>
          <w:szCs w:val="24"/>
        </w:rPr>
        <w:t>et al</w:t>
      </w:r>
      <w:r>
        <w:rPr>
          <w:rFonts w:eastAsia="Times New Roman" w:cs="Times New Roman"/>
          <w:szCs w:val="24"/>
        </w:rPr>
        <w:t xml:space="preserve">., 2009; Schwarz </w:t>
      </w:r>
      <w:r>
        <w:rPr>
          <w:rFonts w:eastAsia="Times New Roman" w:cs="Times New Roman"/>
          <w:i/>
          <w:szCs w:val="24"/>
        </w:rPr>
        <w:t>et al</w:t>
      </w:r>
      <w:r>
        <w:rPr>
          <w:rFonts w:eastAsia="Times New Roman" w:cs="Times New Roman"/>
          <w:szCs w:val="24"/>
        </w:rPr>
        <w:t xml:space="preserve">., 2022; Saadoon Ibadi Al-Alwani and Hamle Abid 2023). They found that specific IgY antibodies against adult somatic antigens and embryonated </w:t>
      </w:r>
      <w:r>
        <w:rPr>
          <w:rFonts w:eastAsia="Times New Roman" w:cs="Times New Roman"/>
          <w:i/>
          <w:szCs w:val="24"/>
        </w:rPr>
        <w:t>A. galli</w:t>
      </w:r>
      <w:r>
        <w:rPr>
          <w:rFonts w:eastAsia="Times New Roman" w:cs="Times New Roman"/>
          <w:szCs w:val="24"/>
        </w:rPr>
        <w:t xml:space="preserve"> egg antigens were more highly expressed in the infected hens. Serum IgY levels are elevated by</w:t>
      </w:r>
      <w:r>
        <w:rPr>
          <w:rFonts w:eastAsia="Times New Roman" w:cs="Times New Roman"/>
          <w:i/>
          <w:szCs w:val="24"/>
        </w:rPr>
        <w:t xml:space="preserve"> A. galli</w:t>
      </w:r>
      <w:r>
        <w:rPr>
          <w:rFonts w:eastAsia="Times New Roman" w:cs="Times New Roman"/>
          <w:szCs w:val="24"/>
        </w:rPr>
        <w:t xml:space="preserve"> infection, however this may not be sufficient toward against infection</w:t>
      </w:r>
      <w:r>
        <w:rPr>
          <w:rFonts w:eastAsia="Times New Roman" w:cs="Times New Roman"/>
          <w:color w:val="FF0000"/>
          <w:szCs w:val="24"/>
        </w:rPr>
        <w:t xml:space="preserve">. </w:t>
      </w:r>
      <w:r>
        <w:rPr>
          <w:rFonts w:eastAsia="Times New Roman" w:cs="Times New Roman"/>
          <w:szCs w:val="24"/>
        </w:rPr>
        <w:t>This result also consistent with the findings of Sharma and Hunt (2018), who found that the infected hens had a greater (P&lt;0.01) serum IgY levels than the control group.</w:t>
      </w:r>
      <w:r>
        <w:rPr>
          <w:rFonts w:eastAsia="Times New Roman" w:cs="Times New Roman"/>
          <w:szCs w:val="24"/>
          <w:highlight w:val="yellow"/>
        </w:rPr>
        <w:t xml:space="preserve"> </w:t>
      </w:r>
    </w:p>
    <w:p w14:paraId="7B6D9CE4">
      <w:pPr>
        <w:spacing w:line="240" w:lineRule="auto"/>
      </w:pPr>
    </w:p>
    <w:p w14:paraId="1A860ECE">
      <w:pPr>
        <w:rPr>
          <w:rFonts w:cs="Times New Roman"/>
          <w:szCs w:val="24"/>
        </w:rPr>
      </w:pPr>
      <w:r>
        <w:rPr>
          <w:rFonts w:cs="Times New Roman"/>
          <w:szCs w:val="24"/>
        </w:rPr>
        <w:t xml:space="preserve">In the vaccinated and parasite infected groups there was relatively low average OD values of the cells. This indicates that the parasite has an effect on the cells viability or has an effect on the cellular immune response of the NCD vaccines. This result was in accordance with the study of Pleidrup </w:t>
      </w:r>
      <w:r>
        <w:rPr>
          <w:rFonts w:cs="Times New Roman"/>
          <w:i/>
          <w:szCs w:val="24"/>
        </w:rPr>
        <w:t>et al</w:t>
      </w:r>
      <w:r>
        <w:rPr>
          <w:rFonts w:cs="Times New Roman"/>
          <w:szCs w:val="24"/>
        </w:rPr>
        <w:t xml:space="preserve">. (2014) that </w:t>
      </w:r>
      <w:r>
        <w:rPr>
          <w:rFonts w:cs="Times New Roman"/>
          <w:i/>
          <w:szCs w:val="24"/>
        </w:rPr>
        <w:t>A. galli</w:t>
      </w:r>
      <w:r>
        <w:rPr>
          <w:rFonts w:cs="Times New Roman"/>
          <w:szCs w:val="24"/>
        </w:rPr>
        <w:t>-infected chickens compared to the controls showed reduced expression of the Th1 signature cytokine IFN-gamma in the spleen. This was also in consistence with the earlier murine and human studies indicating that helminth infections decrease virus-specific CD8+ cytotoxic T cell responses and reduce proliferation of PBMC in response to recall antigens.</w:t>
      </w:r>
    </w:p>
    <w:p w14:paraId="687DF995">
      <w:pPr>
        <w:spacing w:line="240" w:lineRule="auto"/>
        <w:rPr>
          <w:rFonts w:cs="Times New Roman"/>
          <w:szCs w:val="24"/>
        </w:rPr>
      </w:pPr>
    </w:p>
    <w:p w14:paraId="6CF5224A">
      <w:r>
        <w:rPr>
          <w:rFonts w:cs="Times New Roman"/>
          <w:szCs w:val="24"/>
        </w:rPr>
        <w:t xml:space="preserve">In this study there was an increase in the mean absorbance and stimulation index in the experimental periods since day 7, the mean absorbance and the stimulation index were increasing after they took the live vaccines consecutively; this was aligned with the work of Martinez </w:t>
      </w:r>
      <w:r>
        <w:rPr>
          <w:rFonts w:cs="Times New Roman"/>
          <w:i/>
          <w:szCs w:val="24"/>
        </w:rPr>
        <w:t>et al</w:t>
      </w:r>
      <w:r>
        <w:rPr>
          <w:rFonts w:cs="Times New Roman"/>
          <w:szCs w:val="24"/>
        </w:rPr>
        <w:t xml:space="preserve">. (2018).  </w:t>
      </w:r>
    </w:p>
    <w:p w14:paraId="75CD53AA">
      <w:pPr>
        <w:spacing w:line="240" w:lineRule="auto"/>
        <w:rPr>
          <w:rFonts w:eastAsia="Times New Roman" w:cs="Times New Roman"/>
          <w:szCs w:val="24"/>
        </w:rPr>
      </w:pPr>
    </w:p>
    <w:p w14:paraId="410F892C">
      <w:pPr>
        <w:rPr>
          <w:rFonts w:eastAsia="Times New Roman" w:cs="Times New Roman"/>
          <w:szCs w:val="24"/>
        </w:rPr>
      </w:pPr>
      <w:r>
        <w:t>This study also aimed to assess the impact of honey supplementation on the immune response of Lohmann chicks vaccinated against Newcastle Disease Virus (NDV).</w:t>
      </w:r>
      <w:r>
        <w:rPr>
          <w:rFonts w:eastAsia="Times New Roman" w:cs="Times New Roman"/>
          <w:szCs w:val="24"/>
        </w:rPr>
        <w:t xml:space="preserve"> According to reports, honey can boost a chick's immunological response to a Newcastle disease (ND) vaccination (Hegazi </w:t>
      </w:r>
      <w:r>
        <w:rPr>
          <w:rFonts w:eastAsia="Times New Roman" w:cs="Times New Roman"/>
          <w:i/>
          <w:szCs w:val="24"/>
        </w:rPr>
        <w:t>et al</w:t>
      </w:r>
      <w:r>
        <w:rPr>
          <w:rFonts w:eastAsia="Times New Roman" w:cs="Times New Roman"/>
          <w:szCs w:val="24"/>
        </w:rPr>
        <w:t>., 2012).</w:t>
      </w:r>
    </w:p>
    <w:p w14:paraId="2D6F0136">
      <w:pPr>
        <w:spacing w:line="240" w:lineRule="auto"/>
      </w:pPr>
    </w:p>
    <w:p w14:paraId="01F4BFF6">
      <w:r>
        <w:t xml:space="preserve">The research focused on the effects of honey on the immune response of Lohmann day-old chicks that received NDV HB1, LaSota, and thermostable vaccines from the NVI in Ethiopia. Findings indicated that young vaccinated chickens supplemented with honey exhibited a stronger HI antibody response compared to those solely fed honey or the control group provided with regular drinking water. At this study in the post vaccination, the highest 112.4 from LaSota and 115.13 from NCTH mean antibody titers were recorded in chickens that were given honey via drinking water before and after vaccination whereas HI titer of 26.72 was recorded in chickens that were given ordinary drinking water. This indicates that honey can highly increase the response of the NCD vaccine. This is supported by the study done by </w:t>
      </w:r>
      <w:r>
        <w:rPr>
          <w:rFonts w:eastAsia="Times New Roman" w:cs="Times New Roman"/>
          <w:szCs w:val="24"/>
        </w:rPr>
        <w:t xml:space="preserve">Mshelia </w:t>
      </w:r>
      <w:r>
        <w:rPr>
          <w:rFonts w:eastAsia="Times New Roman" w:cs="Times New Roman"/>
          <w:i/>
          <w:szCs w:val="24"/>
        </w:rPr>
        <w:t>et al</w:t>
      </w:r>
      <w:r>
        <w:rPr>
          <w:rFonts w:eastAsia="Times New Roman" w:cs="Times New Roman"/>
          <w:szCs w:val="24"/>
        </w:rPr>
        <w:t>. (2016).</w:t>
      </w:r>
      <w:r>
        <w:t xml:space="preserve">  </w:t>
      </w:r>
    </w:p>
    <w:p w14:paraId="65706FB6">
      <w:pPr>
        <w:spacing w:line="240" w:lineRule="auto"/>
      </w:pPr>
    </w:p>
    <w:p w14:paraId="320E25E9">
      <w:r>
        <w:t xml:space="preserve">The two groups honey only fed and control groups have almost similar mean antibody titer in this study. The honey only boosts the immunity by 5 (coefficient of regression) in both of the vaccines from the control group. This indicates that honey highly boosts/significantly increase/the immunity when given with vaccines. It was very similar to the study result done by Hegazi </w:t>
      </w:r>
      <w:r>
        <w:rPr>
          <w:i/>
        </w:rPr>
        <w:t>et al</w:t>
      </w:r>
      <w:r>
        <w:t>., (2013). , throughout the experiment, there were no discernible changes in the (NDV) antibody titer between the experimental group and any amount of honey added to the water. In comparison to the control group, the groups that received 10% honey supplementation along with the vaccine showed a higher antibody titer. 10% of the honey received had the highest (NDV) antibody titer when compared to the other groups.</w:t>
      </w:r>
    </w:p>
    <w:p w14:paraId="0EC17130">
      <w:pPr>
        <w:spacing w:line="240" w:lineRule="auto"/>
      </w:pPr>
    </w:p>
    <w:p w14:paraId="6C147AC9">
      <w:r>
        <w:t xml:space="preserve">From this study the honey fed groups had higher cellular immune response as compared to other experimental groups. The cells were highly proliferated in honey fed chickens (G5, G6 and G8).There was high lymphocyte proliferation with stimulation index of greater than 2. This may be due to the presence of propolis that was a natural resinous mixture produced by honey bees from various plant sources, has been recognized for its diverse biological activities, such as antimicrobial, anti-inflammatory, antioxidant, and immunostimulatory properties. These beneficial effects are attributed to the presence of flavonoids, aromatic acids, diterpene acids, and phenolic compounds in propolis. In accordance with this work the studies of Fan </w:t>
      </w:r>
      <w:r>
        <w:rPr>
          <w:i/>
        </w:rPr>
        <w:t>et al</w:t>
      </w:r>
      <w:r>
        <w:t xml:space="preserve">. (2013) and Hegazi </w:t>
      </w:r>
      <w:r>
        <w:rPr>
          <w:i/>
        </w:rPr>
        <w:t>et al</w:t>
      </w:r>
      <w:r>
        <w:t xml:space="preserve">. (2013) had shown that propolis can enhance lymphocyte proliferation, leading to changes in the weight of lymphoid organs and potentially improving immune function and disease resistance. </w:t>
      </w:r>
    </w:p>
    <w:p w14:paraId="0346EBAF">
      <w:pPr>
        <w:spacing w:line="240" w:lineRule="auto"/>
      </w:pPr>
    </w:p>
    <w:p w14:paraId="6FA8E596">
      <w:pPr>
        <w:rPr>
          <w:rFonts w:eastAsia="Times New Roman" w:cs="Times New Roman"/>
          <w:szCs w:val="24"/>
        </w:rPr>
      </w:pPr>
      <w:r>
        <w:t xml:space="preserve">In line with previous research by Hegazi </w:t>
      </w:r>
      <w:r>
        <w:rPr>
          <w:i/>
        </w:rPr>
        <w:t>et al</w:t>
      </w:r>
      <w:r>
        <w:t xml:space="preserve">. (2013) a study demonstrated that adding 10% honey as a supplement to broiler chicks vaccinated with NDV vaccine resulted in a significantly higher antibody response compared to a control group. This enhanced immune response may be attributed to the presence of a variety of flavonoids and phenolic acids in honey, which possess antimicrobial properties this may results lower death rates from this experimental activities compared to control groups after challenge. The antioxidant nature of the honey used may also increase the immune response of the chicken. Selenium in honey, in addition to antioxidant nature of honey also resists other diseases like </w:t>
      </w:r>
      <w:r>
        <w:rPr>
          <w:i/>
        </w:rPr>
        <w:t>E. tenella</w:t>
      </w:r>
      <w:r>
        <w:t xml:space="preserve"> that cause death of chicken as stated by </w:t>
      </w:r>
      <w:r>
        <w:rPr>
          <w:rFonts w:eastAsia="Times New Roman" w:cs="Times New Roman"/>
          <w:szCs w:val="24"/>
        </w:rPr>
        <w:t xml:space="preserve">Colnago </w:t>
      </w:r>
      <w:r>
        <w:rPr>
          <w:rFonts w:eastAsia="Times New Roman" w:cs="Times New Roman"/>
          <w:i/>
          <w:szCs w:val="24"/>
        </w:rPr>
        <w:t>et al</w:t>
      </w:r>
      <w:r>
        <w:rPr>
          <w:rFonts w:eastAsia="Times New Roman" w:cs="Times New Roman"/>
          <w:szCs w:val="24"/>
        </w:rPr>
        <w:t>. (1984).</w:t>
      </w:r>
    </w:p>
    <w:p w14:paraId="5ED1DC28">
      <w:pPr>
        <w:spacing w:line="240" w:lineRule="auto"/>
        <w:rPr>
          <w:rFonts w:eastAsia="Times New Roman" w:cs="Times New Roman"/>
          <w:szCs w:val="24"/>
        </w:rPr>
      </w:pPr>
    </w:p>
    <w:p w14:paraId="39BB92E2">
      <w:pPr>
        <w:rPr>
          <w:rFonts w:eastAsia="Times New Roman" w:cs="Times New Roman"/>
          <w:szCs w:val="24"/>
        </w:rPr>
      </w:pPr>
      <w:r>
        <w:rPr>
          <w:rFonts w:eastAsia="Times New Roman" w:cs="Times New Roman"/>
          <w:szCs w:val="24"/>
        </w:rPr>
        <w:t xml:space="preserve">The honey fed groups of this study have high mean absorbance at OD560.These increase absorbance level indicates the presence of higher lymphocytes which were proliferated. This result was supported by (Galal </w:t>
      </w:r>
      <w:r>
        <w:rPr>
          <w:rFonts w:eastAsia="Times New Roman" w:cs="Times New Roman"/>
          <w:i/>
          <w:szCs w:val="24"/>
        </w:rPr>
        <w:t>et al</w:t>
      </w:r>
      <w:r>
        <w:rPr>
          <w:rFonts w:eastAsia="Times New Roman" w:cs="Times New Roman"/>
          <w:szCs w:val="24"/>
        </w:rPr>
        <w:t xml:space="preserve">., 2008) that propolis in honey supplementation to the chicken feed can significantly increased lymphocytes and significantly decreased heterophils and H/L ratio in broiler chickens and laying hens. Although it is done in other species (mice) by Hegazi </w:t>
      </w:r>
      <w:r>
        <w:rPr>
          <w:rFonts w:eastAsia="Times New Roman" w:cs="Times New Roman"/>
          <w:i/>
          <w:szCs w:val="24"/>
        </w:rPr>
        <w:t>et al</w:t>
      </w:r>
      <w:r>
        <w:rPr>
          <w:rFonts w:eastAsia="Times New Roman" w:cs="Times New Roman"/>
          <w:szCs w:val="24"/>
        </w:rPr>
        <w:t>.</w:t>
      </w:r>
      <w:r>
        <w:t xml:space="preserve"> (2015)</w:t>
      </w:r>
      <w:r>
        <w:rPr>
          <w:rFonts w:eastAsia="Times New Roman" w:cs="Times New Roman"/>
          <w:szCs w:val="24"/>
        </w:rPr>
        <w:t xml:space="preserve"> obtained the result of an increase in the lymphocytes and their function in defending the diseases even the cancer. Honey supplementation was observed to increase the phagocytic function of macrophages as well as T- and B-cell function.</w:t>
      </w:r>
    </w:p>
    <w:p w14:paraId="03C23E2E">
      <w:pPr>
        <w:spacing w:line="240" w:lineRule="auto"/>
        <w:rPr>
          <w:rFonts w:eastAsia="Times New Roman" w:cs="Times New Roman"/>
          <w:szCs w:val="24"/>
        </w:rPr>
      </w:pPr>
    </w:p>
    <w:p w14:paraId="109EDCCC">
      <w:pPr>
        <w:rPr>
          <w:rFonts w:eastAsia="Times New Roman" w:cs="Times New Roman"/>
          <w:szCs w:val="24"/>
        </w:rPr>
      </w:pPr>
      <w:r>
        <w:rPr>
          <w:rFonts w:eastAsia="Times New Roman" w:cs="Times New Roman"/>
          <w:szCs w:val="24"/>
        </w:rPr>
        <w:t xml:space="preserve">Generally there was an increase in the antibody titer (humoral immune response) and cellular immune response (lymphocyte proliferation) when the chickens were fed honey. There was significant increase in antibody titer and cell viability and proliferation. These results also aligned with the study done by Hegazi </w:t>
      </w:r>
      <w:r>
        <w:rPr>
          <w:rFonts w:eastAsia="Times New Roman" w:cs="Times New Roman"/>
          <w:i/>
          <w:szCs w:val="24"/>
        </w:rPr>
        <w:t>et al</w:t>
      </w:r>
      <w:r>
        <w:rPr>
          <w:rFonts w:eastAsia="Times New Roman" w:cs="Times New Roman"/>
          <w:szCs w:val="24"/>
        </w:rPr>
        <w:t>. (2012) and they found the result, after receiving either propolis or honey, virulent NDV-infected chickens showed higher antibody titers and phagocytic percentages.</w:t>
      </w:r>
    </w:p>
    <w:p w14:paraId="3DF18B24">
      <w:pPr>
        <w:spacing w:line="240" w:lineRule="auto"/>
      </w:pPr>
    </w:p>
    <w:p w14:paraId="7DC40674">
      <w:pPr>
        <w:spacing w:line="240" w:lineRule="auto"/>
        <w:rPr>
          <w:b/>
        </w:rPr>
      </w:pPr>
      <w:bookmarkStart w:id="108" w:name="_Toc168390156"/>
      <w:r>
        <w:rPr>
          <w:b/>
        </w:rPr>
        <w:t>Limitation of the Study</w:t>
      </w:r>
      <w:bookmarkEnd w:id="108"/>
    </w:p>
    <w:p w14:paraId="70AE132E">
      <w:pPr>
        <w:spacing w:line="240" w:lineRule="auto"/>
      </w:pPr>
    </w:p>
    <w:p w14:paraId="1EF3BE80">
      <w:r>
        <w:t xml:space="preserve">The problem was lack of reagents and media required for this activity in the country and can’t get it promptly. It was difficult to get sufficient amount of </w:t>
      </w:r>
      <w:r>
        <w:rPr>
          <w:i/>
        </w:rPr>
        <w:t>A. galli</w:t>
      </w:r>
      <w:r>
        <w:t xml:space="preserve"> egg in the fecal sample. The other main challenge was getting sufficient literatures and studies done related to this study to use as a reference. Due to limitations of resources like time and some reagents can’t reach at the onset time, it was difficult to do some further tests like flow cytometry, gene expressions (due to the absence of skill professionals and well installed machines).</w:t>
      </w:r>
    </w:p>
    <w:p w14:paraId="4A8F2F40">
      <w:pPr>
        <w:sectPr>
          <w:pgSz w:w="12240" w:h="15840"/>
          <w:pgMar w:top="1440" w:right="1440" w:bottom="1440" w:left="2160" w:header="720" w:footer="720" w:gutter="0"/>
          <w:cols w:space="720" w:num="1"/>
          <w:docGrid w:linePitch="360" w:charSpace="0"/>
        </w:sectPr>
      </w:pPr>
    </w:p>
    <w:p w14:paraId="13A7CC0E">
      <w:pPr>
        <w:pStyle w:val="2"/>
      </w:pPr>
      <w:bookmarkStart w:id="109" w:name="_Toc170937988"/>
      <w:bookmarkStart w:id="110" w:name="_Toc168523152"/>
      <w:bookmarkStart w:id="111" w:name="_Toc168390168"/>
      <w:r>
        <w:t>6. CONCLUSION AND RECOMMENDATIONS</w:t>
      </w:r>
      <w:bookmarkEnd w:id="109"/>
      <w:bookmarkEnd w:id="110"/>
      <w:bookmarkEnd w:id="111"/>
    </w:p>
    <w:p w14:paraId="7F44FD6B">
      <w:pPr>
        <w:spacing w:line="240" w:lineRule="auto"/>
      </w:pPr>
    </w:p>
    <w:p w14:paraId="4A00457C">
      <w:pPr>
        <w:spacing w:line="240" w:lineRule="auto"/>
      </w:pPr>
    </w:p>
    <w:p w14:paraId="667E5FE2">
      <w:r>
        <w:t xml:space="preserve">Based on the obtained results it was possible to conclude that Newcastle disease can be controlled by live NCD vaccines and giving honey as a feed additive with vaccines, but its efficacy can be reduced by different factors, among these factors parasites occupy the broad space. Among the parasites </w:t>
      </w:r>
      <w:r>
        <w:rPr>
          <w:i/>
        </w:rPr>
        <w:t>Ascaridia galli</w:t>
      </w:r>
      <w:r>
        <w:t xml:space="preserve"> is the main one, because it is highly prevalent in poultry farms of Ethiopia and other developed countries. The parasite has an effect on both humoral and cell mediated immune response of the NCD vaccines. It can reduce the potential of full response of HB1/LaSota and thermostable vaccines of poultry.</w:t>
      </w:r>
    </w:p>
    <w:p w14:paraId="71D29FC2">
      <w:r>
        <w:rPr>
          <w:i/>
        </w:rPr>
        <w:t>Ascaridia galli</w:t>
      </w:r>
      <w:r>
        <w:t xml:space="preserve"> is on the rise and is now increasingly found in laying hens kept for commercial egg production. Thus, it seems that the parasite is becoming a more serious issue that needs the attention of researchers, who still have a lot to learn about developing more effective control methods. The honey supplementation increases antibody responses and cellular immune responses of chickens of exotic Lohmann brown breed chicks when administered with NCD vaccination or lonely. This may be due to the immunostimulatory activity of natural honey. It is assumed that this group of poultry could be better protected against ND if given honey orally via drinking water before and after vaccination.</w:t>
      </w:r>
    </w:p>
    <w:p w14:paraId="41108E63">
      <w:pPr>
        <w:spacing w:line="240" w:lineRule="auto"/>
      </w:pPr>
    </w:p>
    <w:p w14:paraId="67BB5773">
      <w:r>
        <w:t>Based on the above conclusions the following recommendations were forwarded:</w:t>
      </w:r>
    </w:p>
    <w:p w14:paraId="63B14CD9">
      <w:pPr>
        <w:pStyle w:val="33"/>
        <w:numPr>
          <w:ilvl w:val="0"/>
          <w:numId w:val="4"/>
        </w:numPr>
      </w:pPr>
      <w:r>
        <w:t>Further researches are essential to determine the effects of poultry parasites on the vaccine efficacy.</w:t>
      </w:r>
    </w:p>
    <w:p w14:paraId="7B215B48">
      <w:pPr>
        <w:pStyle w:val="33"/>
        <w:numPr>
          <w:ilvl w:val="0"/>
          <w:numId w:val="4"/>
        </w:numPr>
      </w:pPr>
      <w:r>
        <w:t>Manufacturer’s vaccines quality control should be assured periodically at the distributed NCD vaccines.</w:t>
      </w:r>
    </w:p>
    <w:p w14:paraId="7F48688B">
      <w:pPr>
        <w:pStyle w:val="33"/>
        <w:numPr>
          <w:ilvl w:val="0"/>
          <w:numId w:val="4"/>
        </w:numPr>
      </w:pPr>
      <w:r>
        <w:t xml:space="preserve">It is essential to develop effective vaccines and antihelmintics against the </w:t>
      </w:r>
      <w:r>
        <w:rPr>
          <w:i/>
        </w:rPr>
        <w:t>A.galli</w:t>
      </w:r>
      <w:r>
        <w:t>.</w:t>
      </w:r>
    </w:p>
    <w:p w14:paraId="5C82E38E">
      <w:pPr>
        <w:pStyle w:val="33"/>
        <w:numPr>
          <w:ilvl w:val="0"/>
          <w:numId w:val="5"/>
        </w:numPr>
      </w:pPr>
      <w:r>
        <w:t>It is better to do more advanced researches on the general effect, standard dose and type of natural honey as supplementation before and after NCD vaccination to attain greater immune stimulation.</w:t>
      </w:r>
    </w:p>
    <w:p w14:paraId="5D14CFE0">
      <w:pPr>
        <w:pStyle w:val="33"/>
        <w:numPr>
          <w:ilvl w:val="0"/>
          <w:numId w:val="5"/>
        </w:numPr>
      </w:pPr>
      <w:r>
        <w:t xml:space="preserve">It is better to vaccinate chickens with honey as a feed additive.  </w:t>
      </w:r>
    </w:p>
    <w:p w14:paraId="5EDD413C">
      <w:pPr>
        <w:pStyle w:val="33"/>
      </w:pPr>
    </w:p>
    <w:p w14:paraId="2BA52F99">
      <w:pPr>
        <w:pStyle w:val="33"/>
      </w:pPr>
    </w:p>
    <w:p w14:paraId="58831167">
      <w:pPr>
        <w:pStyle w:val="33"/>
      </w:pPr>
    </w:p>
    <w:p w14:paraId="721C26D9">
      <w:pPr>
        <w:pStyle w:val="2"/>
        <w:rPr>
          <w:rFonts w:eastAsia="Times New Roman"/>
          <w:szCs w:val="24"/>
        </w:rPr>
      </w:pPr>
      <w:bookmarkStart w:id="112" w:name="_Toc170937989"/>
      <w:bookmarkStart w:id="113" w:name="_Toc168390169"/>
      <w:bookmarkStart w:id="114" w:name="_Toc168523153"/>
      <w:r>
        <w:t>7. REFERENCES</w:t>
      </w:r>
      <w:bookmarkEnd w:id="112"/>
      <w:bookmarkEnd w:id="113"/>
      <w:bookmarkEnd w:id="114"/>
    </w:p>
    <w:p w14:paraId="25C0DF71">
      <w:pPr>
        <w:spacing w:line="240" w:lineRule="auto"/>
      </w:pPr>
    </w:p>
    <w:p w14:paraId="510B5028">
      <w:pPr>
        <w:spacing w:line="240" w:lineRule="auto"/>
        <w:rPr>
          <w:rFonts w:eastAsia="Times New Roman" w:cs="Times New Roman"/>
          <w:szCs w:val="24"/>
        </w:rPr>
      </w:pPr>
    </w:p>
    <w:p w14:paraId="007EA896">
      <w:pPr>
        <w:ind w:left="567" w:hanging="567"/>
        <w:rPr>
          <w:rFonts w:eastAsia="Times New Roman" w:cs="Times New Roman"/>
          <w:szCs w:val="24"/>
        </w:rPr>
      </w:pPr>
      <w:r>
        <w:rPr>
          <w:rFonts w:eastAsia="Times New Roman" w:cs="Times New Roman"/>
          <w:szCs w:val="24"/>
        </w:rPr>
        <w:t xml:space="preserve">Abel, S.G. (2018): Evaluation of the immune response of Newcastle disease virus vaccines in layer chickens, College of Veterinary Medicine and Agriculture, Addis Ababa University. </w:t>
      </w:r>
      <w:r>
        <w:rPr>
          <w:rFonts w:eastAsia="Times New Roman" w:cs="Times New Roman"/>
          <w:i/>
          <w:iCs/>
          <w:szCs w:val="24"/>
        </w:rPr>
        <w:t>Bishoftu, Ethiopia</w:t>
      </w:r>
      <w:r>
        <w:rPr>
          <w:rFonts w:eastAsia="Times New Roman" w:cs="Times New Roman"/>
          <w:szCs w:val="24"/>
        </w:rPr>
        <w:t>.</w:t>
      </w:r>
    </w:p>
    <w:p w14:paraId="6C33EA7F">
      <w:pPr>
        <w:ind w:left="567" w:hanging="567"/>
        <w:rPr>
          <w:rFonts w:eastAsia="Times New Roman" w:cs="Times New Roman"/>
          <w:szCs w:val="24"/>
        </w:rPr>
      </w:pPr>
      <w:r>
        <w:rPr>
          <w:rFonts w:eastAsia="Times New Roman" w:cs="Times New Roman"/>
          <w:szCs w:val="24"/>
        </w:rPr>
        <w:t xml:space="preserve">Actor, J.K., Shirai, M., Kullberg, M.C., Buller, R.M., Sher, A. and Berzofsky, J.A. (1993): Helminth infection results in decreased virus-specific CD8+ cytotoxic T-cell and Th1 cytokine responses as well as delayed virus clearance. </w:t>
      </w:r>
      <w:r>
        <w:rPr>
          <w:rFonts w:eastAsia="Times New Roman" w:cs="Times New Roman"/>
          <w:i/>
          <w:iCs/>
          <w:szCs w:val="24"/>
        </w:rPr>
        <w:t>Proceedings of the National Academy of Sciences</w:t>
      </w:r>
      <w:r>
        <w:rPr>
          <w:rFonts w:eastAsia="Times New Roman" w:cs="Times New Roman"/>
          <w:szCs w:val="24"/>
        </w:rPr>
        <w:t xml:space="preserve">, </w:t>
      </w:r>
      <w:r>
        <w:rPr>
          <w:rFonts w:eastAsia="Times New Roman" w:cs="Times New Roman"/>
          <w:b/>
          <w:iCs/>
          <w:szCs w:val="24"/>
        </w:rPr>
        <w:t>90</w:t>
      </w:r>
      <w:r>
        <w:rPr>
          <w:rFonts w:eastAsia="Times New Roman" w:cs="Times New Roman"/>
          <w:szCs w:val="24"/>
        </w:rPr>
        <w:t>(3), pp.948-952.</w:t>
      </w:r>
    </w:p>
    <w:p w14:paraId="2B0A6A81">
      <w:pPr>
        <w:ind w:left="851" w:hanging="851"/>
      </w:pPr>
      <w:r>
        <w:rPr>
          <w:rFonts w:eastAsia="Times New Roman" w:cs="Times New Roman"/>
          <w:szCs w:val="24"/>
        </w:rPr>
        <w:t>Ahmed, A., Dar, M.A., Bhat, A.A., Jena, B., Mishra, G.K. and Tiwari, R.P. (2015): Study on haemato-biochemical profile in goats suffering from gastrointestinal parasitism in Jaipur district of Rajasthan.</w:t>
      </w:r>
      <w:r>
        <w:t xml:space="preserve"> </w:t>
      </w:r>
      <w:r>
        <w:rPr>
          <w:i/>
        </w:rPr>
        <w:t>Journal of Livestock Science</w:t>
      </w:r>
      <w:r>
        <w:t xml:space="preserve">, </w:t>
      </w:r>
      <w:r>
        <w:rPr>
          <w:b/>
        </w:rPr>
        <w:t>6</w:t>
      </w:r>
      <w:r>
        <w:t>, pp.52-55.</w:t>
      </w:r>
    </w:p>
    <w:p w14:paraId="0A239930">
      <w:pPr>
        <w:ind w:left="851" w:hanging="851"/>
        <w:rPr>
          <w:rFonts w:eastAsia="Times New Roman" w:cs="Times New Roman"/>
          <w:szCs w:val="24"/>
        </w:rPr>
      </w:pPr>
      <w:r>
        <w:rPr>
          <w:rFonts w:eastAsia="Times New Roman" w:cs="Times New Roman"/>
          <w:szCs w:val="24"/>
        </w:rPr>
        <w:t xml:space="preserve">Al-Baroodi, S.Y., Z Al-Zubeady, A. and N Al, M. (2008): Evaluation of cell-mediated immune response in chickens vaccinated with Newcastle disease virus. </w:t>
      </w:r>
      <w:r>
        <w:rPr>
          <w:rFonts w:eastAsia="Times New Roman" w:cs="Times New Roman"/>
          <w:i/>
          <w:iCs/>
          <w:szCs w:val="24"/>
        </w:rPr>
        <w:t>Iraqi Journal of Veterinary Sciences</w:t>
      </w:r>
      <w:r>
        <w:rPr>
          <w:rFonts w:eastAsia="Times New Roman" w:cs="Times New Roman"/>
          <w:szCs w:val="24"/>
        </w:rPr>
        <w:t xml:space="preserve">, </w:t>
      </w:r>
      <w:r>
        <w:rPr>
          <w:rFonts w:eastAsia="Times New Roman" w:cs="Times New Roman"/>
          <w:b/>
          <w:iCs/>
          <w:szCs w:val="24"/>
        </w:rPr>
        <w:t>22</w:t>
      </w:r>
      <w:r>
        <w:rPr>
          <w:rFonts w:eastAsia="Times New Roman" w:cs="Times New Roman"/>
          <w:szCs w:val="24"/>
        </w:rPr>
        <w:t>(1), pp.21-24.</w:t>
      </w:r>
      <w:r>
        <w:rPr>
          <w:rFonts w:cs="Times New Roman"/>
          <w:szCs w:val="24"/>
        </w:rPr>
        <w:t xml:space="preserve"> </w:t>
      </w:r>
    </w:p>
    <w:p w14:paraId="5F4FBC31">
      <w:pPr>
        <w:ind w:left="567" w:hanging="567"/>
        <w:rPr>
          <w:rFonts w:eastAsia="Times New Roman" w:cs="Times New Roman"/>
          <w:szCs w:val="24"/>
        </w:rPr>
      </w:pPr>
      <w:r>
        <w:rPr>
          <w:rFonts w:eastAsia="Times New Roman" w:cs="Times New Roman"/>
          <w:szCs w:val="24"/>
        </w:rPr>
        <w:t xml:space="preserve">Alexander, D.J. (1997): Newcastle disease and other avian paramyxoviridae infections. </w:t>
      </w:r>
      <w:r>
        <w:rPr>
          <w:rFonts w:eastAsia="Times New Roman" w:cs="Times New Roman"/>
          <w:i/>
          <w:iCs/>
          <w:szCs w:val="24"/>
        </w:rPr>
        <w:t>Diseases of poultry</w:t>
      </w:r>
      <w:r>
        <w:rPr>
          <w:rFonts w:eastAsia="Times New Roman" w:cs="Times New Roman"/>
          <w:szCs w:val="24"/>
        </w:rPr>
        <w:t>, pp.496-519.</w:t>
      </w:r>
    </w:p>
    <w:p w14:paraId="1FE5423F">
      <w:pPr>
        <w:ind w:left="567" w:hanging="567"/>
        <w:rPr>
          <w:rFonts w:eastAsia="Times New Roman" w:cs="Times New Roman"/>
          <w:szCs w:val="24"/>
        </w:rPr>
      </w:pPr>
      <w:r>
        <w:rPr>
          <w:rFonts w:eastAsia="Times New Roman" w:cs="Times New Roman"/>
          <w:szCs w:val="24"/>
        </w:rPr>
        <w:t>Ansori, A.N.M. and Kharisma, V.D. (2020): Characterization of Newcastle disease virus in Southeast Asia and East Asia: Fusion protein gene.</w:t>
      </w:r>
      <w:r>
        <w:t xml:space="preserve"> </w:t>
      </w:r>
      <w:r>
        <w:rPr>
          <w:rFonts w:eastAsia="Times New Roman" w:cs="Times New Roman"/>
          <w:i/>
          <w:szCs w:val="24"/>
        </w:rPr>
        <w:t xml:space="preserve">EKSAKTA: Journal of Sciences and </w:t>
      </w:r>
    </w:p>
    <w:p w14:paraId="0F378462">
      <w:pPr>
        <w:ind w:left="567" w:hanging="567"/>
        <w:rPr>
          <w:rFonts w:eastAsia="Times New Roman" w:cs="Times New Roman"/>
          <w:szCs w:val="24"/>
        </w:rPr>
      </w:pPr>
      <w:r>
        <w:rPr>
          <w:rFonts w:eastAsia="Times New Roman" w:cs="Times New Roman"/>
          <w:szCs w:val="24"/>
        </w:rPr>
        <w:t xml:space="preserve">Bello, M.B., Mahamud, S.N.A., Yusoff, K., Ideris, A., Hair-Bejo, M., Peeters, B.P. and Omar, A.R. (2020): Development of an effective and stable genotype-matched live attenuated Newcastle disease virus vaccine based on a novel naturally recombinant Malaysian isolate using reverse genetics. </w:t>
      </w:r>
      <w:r>
        <w:rPr>
          <w:rFonts w:eastAsia="Times New Roman" w:cs="Times New Roman"/>
          <w:i/>
          <w:iCs/>
          <w:szCs w:val="24"/>
        </w:rPr>
        <w:t>Vaccines</w:t>
      </w:r>
      <w:r>
        <w:rPr>
          <w:rFonts w:eastAsia="Times New Roman" w:cs="Times New Roman"/>
          <w:szCs w:val="24"/>
        </w:rPr>
        <w:t xml:space="preserve">, </w:t>
      </w:r>
      <w:r>
        <w:rPr>
          <w:rFonts w:eastAsia="Times New Roman" w:cs="Times New Roman"/>
          <w:b/>
          <w:iCs/>
          <w:szCs w:val="24"/>
        </w:rPr>
        <w:t>8</w:t>
      </w:r>
      <w:r>
        <w:rPr>
          <w:rFonts w:eastAsia="Times New Roman" w:cs="Times New Roman"/>
          <w:szCs w:val="24"/>
        </w:rPr>
        <w:t>(2), p.270.</w:t>
      </w:r>
    </w:p>
    <w:p w14:paraId="122A2FE1">
      <w:pPr>
        <w:ind w:left="851" w:hanging="851"/>
        <w:rPr>
          <w:rFonts w:eastAsia="Times New Roman" w:cs="Times New Roman"/>
          <w:szCs w:val="24"/>
        </w:rPr>
      </w:pPr>
      <w:r>
        <w:rPr>
          <w:rFonts w:eastAsia="Times New Roman" w:cs="Times New Roman"/>
          <w:szCs w:val="24"/>
        </w:rPr>
        <w:t xml:space="preserve">Bello, M.B., Yusoff, K., Ideris, A., Hair-Bejo, M., Peeters, B.P. and Omar, A.R. (2018): Diagnostic and vaccination approaches for Newcastle disease virus in poultry: The current and emerging perspectives. </w:t>
      </w:r>
      <w:r>
        <w:rPr>
          <w:rFonts w:eastAsia="Times New Roman" w:cs="Times New Roman"/>
          <w:i/>
          <w:iCs/>
          <w:szCs w:val="24"/>
        </w:rPr>
        <w:t>BioMedical research international</w:t>
      </w:r>
      <w:r>
        <w:rPr>
          <w:rFonts w:eastAsia="Times New Roman" w:cs="Times New Roman"/>
          <w:szCs w:val="24"/>
        </w:rPr>
        <w:t xml:space="preserve">, </w:t>
      </w:r>
      <w:r>
        <w:rPr>
          <w:rFonts w:eastAsia="Times New Roman" w:cs="Times New Roman"/>
          <w:iCs/>
          <w:szCs w:val="24"/>
        </w:rPr>
        <w:t>2018</w:t>
      </w:r>
      <w:r>
        <w:rPr>
          <w:rFonts w:eastAsia="Times New Roman" w:cs="Times New Roman"/>
          <w:szCs w:val="24"/>
        </w:rPr>
        <w:t>, pp.1-18.</w:t>
      </w:r>
    </w:p>
    <w:p w14:paraId="546E836A">
      <w:pPr>
        <w:ind w:left="851" w:hanging="851"/>
        <w:rPr>
          <w:rFonts w:eastAsia="Times New Roman" w:cs="Times New Roman"/>
          <w:szCs w:val="24"/>
        </w:rPr>
      </w:pPr>
      <w:r>
        <w:rPr>
          <w:rFonts w:eastAsia="Times New Roman" w:cs="Times New Roman"/>
          <w:szCs w:val="24"/>
        </w:rPr>
        <w:t xml:space="preserve">Bhopale, S.T., Deore, M.D., Gatne, M.L. and Narsapur, V.S. (1998): Immunosuppression in birds experimentally infected with single and mixed parasitic infections. Journal of Bombay Veterinary College, </w:t>
      </w:r>
      <w:r>
        <w:rPr>
          <w:rFonts w:eastAsia="Times New Roman" w:cs="Times New Roman"/>
          <w:b/>
          <w:szCs w:val="24"/>
        </w:rPr>
        <w:t>6</w:t>
      </w:r>
      <w:r>
        <w:rPr>
          <w:rFonts w:eastAsia="Times New Roman" w:cs="Times New Roman"/>
          <w:szCs w:val="24"/>
        </w:rPr>
        <w:t>(1), pp.17-19.</w:t>
      </w:r>
    </w:p>
    <w:p w14:paraId="72E1F8F1">
      <w:pPr>
        <w:ind w:left="567" w:hanging="567"/>
        <w:rPr>
          <w:rFonts w:eastAsia="Times New Roman" w:cs="Times New Roman"/>
          <w:szCs w:val="24"/>
        </w:rPr>
      </w:pPr>
      <w:r>
        <w:rPr>
          <w:rFonts w:eastAsia="Times New Roman" w:cs="Times New Roman"/>
          <w:szCs w:val="24"/>
        </w:rPr>
        <w:t xml:space="preserve">Birhanu, M., Leta, S., Mamo, G. and Tesfaye, S. (2017). Prevalence of bovine subclinical mastitis and isolation of its major causes in Bishoftu Town, Ethiopia. </w:t>
      </w:r>
      <w:r>
        <w:rPr>
          <w:rFonts w:eastAsia="Times New Roman" w:cs="Times New Roman"/>
          <w:i/>
          <w:szCs w:val="24"/>
        </w:rPr>
        <w:t>BMC research notes</w:t>
      </w:r>
      <w:r>
        <w:rPr>
          <w:rFonts w:eastAsia="Times New Roman" w:cs="Times New Roman"/>
          <w:szCs w:val="24"/>
        </w:rPr>
        <w:t xml:space="preserve">, </w:t>
      </w:r>
      <w:r>
        <w:rPr>
          <w:rFonts w:eastAsia="Times New Roman" w:cs="Times New Roman"/>
          <w:b/>
          <w:szCs w:val="24"/>
        </w:rPr>
        <w:t>10</w:t>
      </w:r>
      <w:r>
        <w:rPr>
          <w:rFonts w:eastAsia="Times New Roman" w:cs="Times New Roman"/>
          <w:szCs w:val="24"/>
        </w:rPr>
        <w:t>(1), pp.1-6.</w:t>
      </w:r>
    </w:p>
    <w:p w14:paraId="1661A357">
      <w:pPr>
        <w:ind w:left="567" w:hanging="567"/>
        <w:rPr>
          <w:rFonts w:eastAsia="Times New Roman" w:cs="Times New Roman"/>
          <w:szCs w:val="24"/>
        </w:rPr>
      </w:pPr>
      <w:r>
        <w:rPr>
          <w:rFonts w:eastAsia="Times New Roman" w:cs="Times New Roman"/>
          <w:szCs w:val="24"/>
        </w:rPr>
        <w:t xml:space="preserve">Brady, M.T., O’Neill, S.M., Dalton, J.P. and Mills, K.H. (1999): Fasciola hepatica suppresses a protective Th1 response against Bordetella pertussis. </w:t>
      </w:r>
      <w:r>
        <w:rPr>
          <w:rFonts w:eastAsia="Times New Roman" w:cs="Times New Roman"/>
          <w:i/>
          <w:iCs/>
          <w:szCs w:val="24"/>
        </w:rPr>
        <w:t>Infection and immunity</w:t>
      </w:r>
      <w:r>
        <w:rPr>
          <w:rFonts w:eastAsia="Times New Roman" w:cs="Times New Roman"/>
          <w:szCs w:val="24"/>
        </w:rPr>
        <w:t xml:space="preserve">, </w:t>
      </w:r>
      <w:r>
        <w:rPr>
          <w:rFonts w:eastAsia="Times New Roman" w:cs="Times New Roman"/>
          <w:b/>
          <w:iCs/>
          <w:szCs w:val="24"/>
        </w:rPr>
        <w:t>67</w:t>
      </w:r>
      <w:r>
        <w:rPr>
          <w:rFonts w:eastAsia="Times New Roman" w:cs="Times New Roman"/>
          <w:szCs w:val="24"/>
        </w:rPr>
        <w:t>(10), pp.5372-5378.</w:t>
      </w:r>
    </w:p>
    <w:p w14:paraId="0F2FE49D">
      <w:pPr>
        <w:ind w:left="851" w:hanging="851"/>
        <w:rPr>
          <w:rFonts w:eastAsia="Times New Roman" w:cs="Times New Roman"/>
          <w:szCs w:val="24"/>
        </w:rPr>
      </w:pPr>
      <w:r>
        <w:rPr>
          <w:rFonts w:eastAsia="Times New Roman" w:cs="Times New Roman"/>
          <w:szCs w:val="24"/>
        </w:rPr>
        <w:t xml:space="preserve">Colnago, G.L., Jensen, L.S. and Long, P.L. (1984): Effect of selenium and vitamin E on the development of immunity to coccidiosis in chickens. </w:t>
      </w:r>
      <w:r>
        <w:rPr>
          <w:rFonts w:eastAsia="Times New Roman" w:cs="Times New Roman"/>
          <w:i/>
          <w:iCs/>
          <w:szCs w:val="24"/>
        </w:rPr>
        <w:t>Poultry science</w:t>
      </w:r>
      <w:r>
        <w:rPr>
          <w:rFonts w:eastAsia="Times New Roman" w:cs="Times New Roman"/>
          <w:szCs w:val="24"/>
        </w:rPr>
        <w:t xml:space="preserve">, </w:t>
      </w:r>
      <w:r>
        <w:rPr>
          <w:rFonts w:eastAsia="Times New Roman" w:cs="Times New Roman"/>
          <w:b/>
          <w:iCs/>
          <w:szCs w:val="24"/>
        </w:rPr>
        <w:t>63</w:t>
      </w:r>
      <w:r>
        <w:rPr>
          <w:rFonts w:eastAsia="Times New Roman" w:cs="Times New Roman"/>
          <w:szCs w:val="24"/>
        </w:rPr>
        <w:t>(6), pp.1136-1143.</w:t>
      </w:r>
    </w:p>
    <w:p w14:paraId="2FB29EB4">
      <w:pPr>
        <w:ind w:left="567" w:hanging="567"/>
        <w:rPr>
          <w:rFonts w:eastAsia="Times New Roman" w:cs="Times New Roman"/>
          <w:szCs w:val="24"/>
        </w:rPr>
      </w:pPr>
      <w:r>
        <w:rPr>
          <w:rFonts w:eastAsia="Times New Roman" w:cs="Times New Roman"/>
          <w:szCs w:val="24"/>
        </w:rPr>
        <w:t xml:space="preserve">Cooper, P.J., Chico, M., Sandoval, C., Espinel, I., Guevara, A., Levine, M.M., Griffin, G.E. and Nutman, T.B. (2001): Human infection with Ascaris lumbricoides is associated with suppression of the interleukin-2 response to recombinant cholera toxin B subunit following vaccination with the live oral cholera vaccine CVD 103-HgR. </w:t>
      </w:r>
      <w:r>
        <w:rPr>
          <w:rFonts w:eastAsia="Times New Roman" w:cs="Times New Roman"/>
          <w:i/>
          <w:iCs/>
          <w:szCs w:val="24"/>
        </w:rPr>
        <w:t>Infection and immunity</w:t>
      </w:r>
      <w:r>
        <w:rPr>
          <w:rFonts w:eastAsia="Times New Roman" w:cs="Times New Roman"/>
          <w:szCs w:val="24"/>
        </w:rPr>
        <w:t xml:space="preserve">, </w:t>
      </w:r>
      <w:r>
        <w:rPr>
          <w:rFonts w:eastAsia="Times New Roman" w:cs="Times New Roman"/>
          <w:b/>
          <w:iCs/>
          <w:szCs w:val="24"/>
        </w:rPr>
        <w:t>69</w:t>
      </w:r>
      <w:r>
        <w:rPr>
          <w:rFonts w:eastAsia="Times New Roman" w:cs="Times New Roman"/>
          <w:szCs w:val="24"/>
        </w:rPr>
        <w:t>(3), pp.1574-1580.</w:t>
      </w:r>
    </w:p>
    <w:p w14:paraId="7BEB2B83">
      <w:pPr>
        <w:ind w:left="567" w:hanging="567"/>
        <w:rPr>
          <w:rFonts w:eastAsia="Times New Roman" w:cs="Times New Roman"/>
          <w:szCs w:val="24"/>
        </w:rPr>
      </w:pPr>
      <w:r>
        <w:rPr>
          <w:rFonts w:eastAsia="Times New Roman" w:cs="Times New Roman"/>
          <w:szCs w:val="24"/>
        </w:rPr>
        <w:t xml:space="preserve">Dortmans, J.C., Peeters, B.P. and Koch, G. (2012): Newcastle disease virus outbreaks: vaccine mismatch or inadequate application? </w:t>
      </w:r>
      <w:r>
        <w:rPr>
          <w:rFonts w:eastAsia="Times New Roman" w:cs="Times New Roman"/>
          <w:i/>
          <w:iCs/>
          <w:szCs w:val="24"/>
        </w:rPr>
        <w:t>Veterinary microbiology</w:t>
      </w:r>
      <w:r>
        <w:rPr>
          <w:rFonts w:eastAsia="Times New Roman" w:cs="Times New Roman"/>
          <w:szCs w:val="24"/>
        </w:rPr>
        <w:t xml:space="preserve">, </w:t>
      </w:r>
      <w:r>
        <w:rPr>
          <w:rFonts w:eastAsia="Times New Roman" w:cs="Times New Roman"/>
          <w:b/>
          <w:iCs/>
          <w:szCs w:val="24"/>
        </w:rPr>
        <w:t>160</w:t>
      </w:r>
      <w:r>
        <w:rPr>
          <w:rFonts w:eastAsia="Times New Roman" w:cs="Times New Roman"/>
          <w:szCs w:val="24"/>
        </w:rPr>
        <w:t>(1-2), pp.17-22.</w:t>
      </w:r>
    </w:p>
    <w:p w14:paraId="723CB124">
      <w:pPr>
        <w:ind w:left="567" w:hanging="567"/>
        <w:rPr>
          <w:rFonts w:eastAsia="Times New Roman" w:cs="Times New Roman"/>
          <w:szCs w:val="24"/>
        </w:rPr>
      </w:pPr>
      <w:r>
        <w:rPr>
          <w:rFonts w:eastAsia="Times New Roman" w:cs="Times New Roman"/>
          <w:szCs w:val="24"/>
        </w:rPr>
        <w:t xml:space="preserve">Elias, D., Wolday, D., Akuffo, H., Petros, B., Bronner, U. and Britton, S. (2001): Effect of deworming on human T cell responses to mycobacterial antigens in helminth-exposed individuals before and after bacille Calmette–Guérin (BCG) vaccination. </w:t>
      </w:r>
      <w:r>
        <w:rPr>
          <w:rFonts w:eastAsia="Times New Roman" w:cs="Times New Roman"/>
          <w:i/>
          <w:iCs/>
          <w:szCs w:val="24"/>
        </w:rPr>
        <w:t>Clinical &amp; Experimental Immunology</w:t>
      </w:r>
      <w:r>
        <w:rPr>
          <w:rFonts w:eastAsia="Times New Roman" w:cs="Times New Roman"/>
          <w:szCs w:val="24"/>
        </w:rPr>
        <w:t xml:space="preserve">, </w:t>
      </w:r>
      <w:r>
        <w:rPr>
          <w:rFonts w:eastAsia="Times New Roman" w:cs="Times New Roman"/>
          <w:b/>
          <w:iCs/>
          <w:szCs w:val="24"/>
        </w:rPr>
        <w:t>123</w:t>
      </w:r>
      <w:r>
        <w:rPr>
          <w:rFonts w:eastAsia="Times New Roman" w:cs="Times New Roman"/>
          <w:szCs w:val="24"/>
        </w:rPr>
        <w:t>(2), pp.219-225.</w:t>
      </w:r>
    </w:p>
    <w:p w14:paraId="4CAC3E74">
      <w:pPr>
        <w:ind w:left="567" w:hanging="567"/>
        <w:rPr>
          <w:rFonts w:eastAsia="Times New Roman" w:cs="Times New Roman"/>
          <w:szCs w:val="24"/>
        </w:rPr>
      </w:pPr>
      <w:r>
        <w:rPr>
          <w:rFonts w:eastAsia="Times New Roman" w:cs="Times New Roman"/>
          <w:szCs w:val="24"/>
        </w:rPr>
        <w:t xml:space="preserve">Eteraf-Oskouei, T. and Najafi, M. (2013): Traditional and modern uses of natural honey in human diseases: a review. </w:t>
      </w:r>
      <w:r>
        <w:rPr>
          <w:rFonts w:eastAsia="Times New Roman" w:cs="Times New Roman"/>
          <w:i/>
          <w:iCs/>
          <w:szCs w:val="24"/>
        </w:rPr>
        <w:t>Iranian journal of basic medical sciences</w:t>
      </w:r>
      <w:r>
        <w:rPr>
          <w:rFonts w:eastAsia="Times New Roman" w:cs="Times New Roman"/>
          <w:szCs w:val="24"/>
        </w:rPr>
        <w:t xml:space="preserve">, </w:t>
      </w:r>
      <w:r>
        <w:rPr>
          <w:rFonts w:eastAsia="Times New Roman" w:cs="Times New Roman"/>
          <w:b/>
          <w:iCs/>
          <w:szCs w:val="24"/>
        </w:rPr>
        <w:t>16</w:t>
      </w:r>
      <w:r>
        <w:rPr>
          <w:rFonts w:eastAsia="Times New Roman" w:cs="Times New Roman"/>
          <w:szCs w:val="24"/>
        </w:rPr>
        <w:t>(6), p.731.</w:t>
      </w:r>
    </w:p>
    <w:p w14:paraId="786EBFC0">
      <w:pPr>
        <w:ind w:left="567" w:hanging="567"/>
        <w:rPr>
          <w:rFonts w:eastAsia="Times New Roman" w:cs="Times New Roman"/>
          <w:szCs w:val="24"/>
        </w:rPr>
      </w:pPr>
      <w:r>
        <w:rPr>
          <w:rFonts w:eastAsia="Times New Roman" w:cs="Times New Roman"/>
          <w:szCs w:val="24"/>
        </w:rPr>
        <w:t>Fan YunPeng, F.Y., Lu Yu, L.Y., Wang DeYun, W.D., Liu JiaGuo, L.J., Song XiaoPing, S.X., Zhang WeiMin, Z.W., Zhao XiaoJuan, Z.X., The Luong Nguyen, T.L.N. and Hu YuanLiang, H.Y. (2013): Effect of epimedium polysaccharide-propolis flavone immunopotentiator on immunosuppression induced by cyclophosphamide in chickens.</w:t>
      </w:r>
      <w:r>
        <w:t xml:space="preserve"> </w:t>
      </w:r>
      <w:r>
        <w:fldChar w:fldCharType="begin"/>
      </w:r>
      <w:r>
        <w:instrText xml:space="preserve"> HYPERLINK "https://www.cabidigitallibrary.org/action/doSearch?do=Cellular+Immunology" </w:instrText>
      </w:r>
      <w:r>
        <w:fldChar w:fldCharType="separate"/>
      </w:r>
      <w:r>
        <w:rPr>
          <w:rStyle w:val="17"/>
          <w:rFonts w:cs="Times New Roman"/>
          <w:bCs/>
          <w:i/>
          <w:color w:val="auto"/>
          <w:szCs w:val="24"/>
          <w:u w:val="none"/>
          <w:shd w:val="clear" w:color="auto" w:fill="FFFFFF"/>
        </w:rPr>
        <w:t>Cellular Immunology</w:t>
      </w:r>
      <w:r>
        <w:rPr>
          <w:rStyle w:val="17"/>
          <w:rFonts w:cs="Times New Roman"/>
          <w:bCs/>
          <w:i/>
          <w:color w:val="auto"/>
          <w:szCs w:val="24"/>
          <w:u w:val="none"/>
          <w:shd w:val="clear" w:color="auto" w:fill="FFFFFF"/>
        </w:rPr>
        <w:fldChar w:fldCharType="end"/>
      </w:r>
      <w:r>
        <w:rPr>
          <w:rFonts w:cs="Times New Roman"/>
          <w:b/>
          <w:bCs/>
          <w:szCs w:val="24"/>
          <w:shd w:val="clear" w:color="auto" w:fill="FFFFFF"/>
        </w:rPr>
        <w:t>, 281</w:t>
      </w:r>
      <w:r>
        <w:rPr>
          <w:rFonts w:cs="Times New Roman"/>
          <w:bCs/>
          <w:szCs w:val="24"/>
          <w:shd w:val="clear" w:color="auto" w:fill="FFFFFF"/>
        </w:rPr>
        <w:t>(1), pp. 37-43.</w:t>
      </w:r>
    </w:p>
    <w:p w14:paraId="1A608C39">
      <w:pPr>
        <w:ind w:left="567" w:hanging="567"/>
        <w:rPr>
          <w:rFonts w:eastAsia="Times New Roman" w:cs="Times New Roman"/>
          <w:szCs w:val="24"/>
        </w:rPr>
      </w:pPr>
      <w:r>
        <w:rPr>
          <w:rFonts w:eastAsia="Times New Roman" w:cs="Times New Roman"/>
          <w:szCs w:val="24"/>
        </w:rPr>
        <w:t xml:space="preserve">Foster, A., Chitukuro, H.R., Tuppa, E., Mwanjala, T. and Kusila, C., 1996. A field trial with thermostable V4 Newcastle disease vaccine in village in central Tanzania. </w:t>
      </w:r>
      <w:r>
        <w:rPr>
          <w:rFonts w:eastAsia="Times New Roman" w:cs="Times New Roman"/>
          <w:i/>
          <w:szCs w:val="24"/>
        </w:rPr>
        <w:t>In proceedings of a FPD workshop held in M'Bour, Senegal, from December</w:t>
      </w:r>
      <w:r>
        <w:rPr>
          <w:rFonts w:eastAsia="Times New Roman" w:cs="Times New Roman"/>
          <w:szCs w:val="24"/>
        </w:rPr>
        <w:t>. Pp. 9-13.</w:t>
      </w:r>
    </w:p>
    <w:p w14:paraId="711D2E24">
      <w:pPr>
        <w:ind w:left="567" w:hanging="567"/>
        <w:rPr>
          <w:rFonts w:eastAsia="Times New Roman" w:cs="Times New Roman"/>
          <w:szCs w:val="24"/>
        </w:rPr>
      </w:pPr>
      <w:r>
        <w:rPr>
          <w:rFonts w:eastAsia="Times New Roman" w:cs="Times New Roman"/>
          <w:szCs w:val="24"/>
        </w:rPr>
        <w:t xml:space="preserve">Galal, A., Abd El-Motaal, A.M., Ahmed, A.M.H. and Zaki, T.G. (2008). Productive performance and immune response of laying hens as affected by dietary propolis supplementation. </w:t>
      </w:r>
      <w:r>
        <w:rPr>
          <w:rFonts w:eastAsia="Times New Roman" w:cs="Times New Roman"/>
          <w:i/>
          <w:szCs w:val="24"/>
        </w:rPr>
        <w:t>International Journal of Poultry Science</w:t>
      </w:r>
      <w:r>
        <w:rPr>
          <w:rFonts w:eastAsia="Times New Roman" w:cs="Times New Roman"/>
          <w:szCs w:val="24"/>
        </w:rPr>
        <w:t xml:space="preserve">, </w:t>
      </w:r>
      <w:r>
        <w:rPr>
          <w:rFonts w:eastAsia="Times New Roman" w:cs="Times New Roman"/>
          <w:b/>
          <w:szCs w:val="24"/>
        </w:rPr>
        <w:t>7</w:t>
      </w:r>
      <w:r>
        <w:rPr>
          <w:rFonts w:eastAsia="Times New Roman" w:cs="Times New Roman"/>
          <w:szCs w:val="24"/>
        </w:rPr>
        <w:t>(3), pp.272-278.</w:t>
      </w:r>
    </w:p>
    <w:p w14:paraId="60D85512">
      <w:pPr>
        <w:ind w:left="567" w:hanging="567"/>
        <w:rPr>
          <w:rFonts w:eastAsia="Times New Roman" w:cs="Times New Roman"/>
          <w:szCs w:val="24"/>
        </w:rPr>
      </w:pPr>
      <w:r>
        <w:rPr>
          <w:rFonts w:eastAsia="Times New Roman" w:cs="Times New Roman"/>
          <w:szCs w:val="24"/>
        </w:rPr>
        <w:t xml:space="preserve">Hegazi, A., Abdou, M. and Allah, F.A. (2013): Influence of honey on immune response against Newcastle disease vaccine. </w:t>
      </w:r>
      <w:r>
        <w:rPr>
          <w:rFonts w:eastAsia="Times New Roman" w:cs="Times New Roman"/>
          <w:i/>
          <w:iCs/>
          <w:szCs w:val="24"/>
        </w:rPr>
        <w:t xml:space="preserve">International Journal of Basic and Applied Virology, </w:t>
      </w:r>
      <w:r>
        <w:rPr>
          <w:rFonts w:eastAsia="Times New Roman" w:cs="Times New Roman"/>
          <w:b/>
          <w:iCs/>
          <w:szCs w:val="24"/>
        </w:rPr>
        <w:t>2</w:t>
      </w:r>
      <w:r>
        <w:rPr>
          <w:rFonts w:eastAsia="Times New Roman" w:cs="Times New Roman"/>
          <w:szCs w:val="24"/>
        </w:rPr>
        <w:t>, pp.1-5.</w:t>
      </w:r>
    </w:p>
    <w:p w14:paraId="2E0F3AA9">
      <w:pPr>
        <w:ind w:left="567" w:hanging="567"/>
        <w:rPr>
          <w:rFonts w:eastAsia="Times New Roman" w:cs="Times New Roman"/>
          <w:szCs w:val="24"/>
        </w:rPr>
      </w:pPr>
      <w:r>
        <w:rPr>
          <w:rFonts w:eastAsia="Times New Roman" w:cs="Times New Roman"/>
          <w:szCs w:val="24"/>
        </w:rPr>
        <w:t xml:space="preserve">Hørning, G., Rasmussen, S., Permin, A. and Bisgaard, M. (2003): Investigations on the influence of helminth parasites on vaccination of chickens against Newcastle disease virus under village conditions. </w:t>
      </w:r>
      <w:r>
        <w:rPr>
          <w:rFonts w:eastAsia="Times New Roman" w:cs="Times New Roman"/>
          <w:i/>
          <w:szCs w:val="24"/>
        </w:rPr>
        <w:t>Tropical animal health and production</w:t>
      </w:r>
      <w:r>
        <w:rPr>
          <w:rFonts w:eastAsia="Times New Roman" w:cs="Times New Roman"/>
          <w:szCs w:val="24"/>
        </w:rPr>
        <w:t xml:space="preserve">, </w:t>
      </w:r>
      <w:r>
        <w:rPr>
          <w:rFonts w:eastAsia="Times New Roman" w:cs="Times New Roman"/>
          <w:b/>
          <w:szCs w:val="24"/>
        </w:rPr>
        <w:t>35</w:t>
      </w:r>
      <w:r>
        <w:rPr>
          <w:rFonts w:eastAsia="Times New Roman" w:cs="Times New Roman"/>
          <w:szCs w:val="24"/>
        </w:rPr>
        <w:t>, pp.415-424.</w:t>
      </w:r>
    </w:p>
    <w:p w14:paraId="5FCDEA9A">
      <w:pPr>
        <w:ind w:left="567" w:hanging="567"/>
        <w:rPr>
          <w:rFonts w:eastAsia="Times New Roman" w:cs="Times New Roman"/>
          <w:szCs w:val="24"/>
        </w:rPr>
      </w:pPr>
      <w:r>
        <w:rPr>
          <w:rFonts w:eastAsia="Times New Roman" w:cs="Times New Roman"/>
          <w:szCs w:val="24"/>
        </w:rPr>
        <w:t xml:space="preserve">Kalonda, A., Saasa, N., Kajihara, M., Nao, N., Moonga, L., Ndebe, J., Mori-Kajihara, A., Mukubesa A.N., Sakoda Y., Sawa H. and Takada A. (2024): Phylogenetic Analysis of Newcastle Disease Virus Isolated from Poultry in Live Bird Markets and Wild Waterfowl in Zambia. </w:t>
      </w:r>
      <w:r>
        <w:rPr>
          <w:rFonts w:eastAsia="Times New Roman" w:cs="Times New Roman"/>
          <w:i/>
          <w:szCs w:val="24"/>
        </w:rPr>
        <w:t>Microorganisms</w:t>
      </w:r>
      <w:r>
        <w:rPr>
          <w:rFonts w:eastAsia="Times New Roman" w:cs="Times New Roman"/>
          <w:szCs w:val="24"/>
        </w:rPr>
        <w:t xml:space="preserve">, </w:t>
      </w:r>
      <w:r>
        <w:rPr>
          <w:rFonts w:eastAsia="Times New Roman" w:cs="Times New Roman"/>
          <w:b/>
          <w:szCs w:val="24"/>
        </w:rPr>
        <w:t>12</w:t>
      </w:r>
      <w:r>
        <w:rPr>
          <w:rFonts w:eastAsia="Times New Roman" w:cs="Times New Roman"/>
          <w:szCs w:val="24"/>
        </w:rPr>
        <w:t>(2), p.354.</w:t>
      </w:r>
    </w:p>
    <w:p w14:paraId="3706E9E9">
      <w:pPr>
        <w:ind w:left="851" w:hanging="851"/>
        <w:rPr>
          <w:rFonts w:eastAsia="Times New Roman" w:cs="Times New Roman"/>
          <w:szCs w:val="24"/>
        </w:rPr>
      </w:pPr>
      <w:r>
        <w:rPr>
          <w:rFonts w:eastAsia="Times New Roman" w:cs="Times New Roman"/>
          <w:szCs w:val="24"/>
        </w:rPr>
        <w:t xml:space="preserve">Kolbaum, J., Tartz, S., Hartmann, W., Helm, S., Nagel, A., Heussler, V., Sebo, P., Fleischer, B., Jacobs, T. and Breloer, M. (2012): Nematode‐induced interference with the anti‐Plasmodium CD8+ T‐cell response can be overcome by optimizing antigen administration. </w:t>
      </w:r>
      <w:r>
        <w:rPr>
          <w:rFonts w:eastAsia="Times New Roman" w:cs="Times New Roman"/>
          <w:i/>
          <w:iCs/>
          <w:szCs w:val="24"/>
        </w:rPr>
        <w:t>European journal of immunology</w:t>
      </w:r>
      <w:r>
        <w:rPr>
          <w:rFonts w:eastAsia="Times New Roman" w:cs="Times New Roman"/>
          <w:szCs w:val="24"/>
        </w:rPr>
        <w:t xml:space="preserve">, </w:t>
      </w:r>
      <w:r>
        <w:rPr>
          <w:rFonts w:eastAsia="Times New Roman" w:cs="Times New Roman"/>
          <w:b/>
          <w:iCs/>
          <w:szCs w:val="24"/>
        </w:rPr>
        <w:t>42</w:t>
      </w:r>
      <w:r>
        <w:rPr>
          <w:rFonts w:eastAsia="Times New Roman" w:cs="Times New Roman"/>
          <w:szCs w:val="24"/>
        </w:rPr>
        <w:t>(4), pp.890-900.</w:t>
      </w:r>
    </w:p>
    <w:p w14:paraId="2F7F0DB8">
      <w:pPr>
        <w:ind w:left="567" w:hanging="567"/>
        <w:rPr>
          <w:rFonts w:eastAsia="Times New Roman" w:cs="Times New Roman"/>
          <w:szCs w:val="24"/>
        </w:rPr>
      </w:pPr>
      <w:r>
        <w:rPr>
          <w:rFonts w:eastAsia="Times New Roman" w:cs="Times New Roman"/>
          <w:szCs w:val="24"/>
        </w:rPr>
        <w:t xml:space="preserve">Kraneveld, F.C. (1926): A poultry disease in the Dutch East Indies. </w:t>
      </w:r>
      <w:r>
        <w:rPr>
          <w:rFonts w:eastAsia="Times New Roman" w:cs="Times New Roman"/>
          <w:i/>
          <w:iCs/>
          <w:szCs w:val="24"/>
        </w:rPr>
        <w:t>Nederlands Indisch Blad voor de Diergeneeskunde</w:t>
      </w:r>
      <w:r>
        <w:rPr>
          <w:rFonts w:eastAsia="Times New Roman" w:cs="Times New Roman"/>
          <w:szCs w:val="24"/>
        </w:rPr>
        <w:t xml:space="preserve">, </w:t>
      </w:r>
      <w:r>
        <w:rPr>
          <w:rFonts w:eastAsia="Times New Roman" w:cs="Times New Roman"/>
          <w:b/>
          <w:iCs/>
          <w:szCs w:val="24"/>
        </w:rPr>
        <w:t>38</w:t>
      </w:r>
      <w:r>
        <w:rPr>
          <w:rFonts w:eastAsia="Times New Roman" w:cs="Times New Roman"/>
          <w:szCs w:val="24"/>
        </w:rPr>
        <w:t>, pp.448-450.</w:t>
      </w:r>
    </w:p>
    <w:p w14:paraId="0D27ACBC">
      <w:pPr>
        <w:ind w:left="567" w:hanging="567"/>
        <w:rPr>
          <w:rFonts w:eastAsia="Times New Roman" w:cs="Times New Roman"/>
          <w:szCs w:val="24"/>
        </w:rPr>
      </w:pPr>
      <w:r>
        <w:rPr>
          <w:rFonts w:eastAsia="Times New Roman" w:cs="Times New Roman"/>
          <w:szCs w:val="24"/>
        </w:rPr>
        <w:t xml:space="preserve">Leow, B.L., Shajarutulwardah, M.Y. and Ramlan, M. (2011): Newcastle disease in Malaysia: diagnostic cases in veterinary research institute (VRI) IPOH from 2004-2009. </w:t>
      </w:r>
      <w:r>
        <w:rPr>
          <w:rFonts w:eastAsia="Times New Roman" w:cs="Times New Roman"/>
          <w:i/>
          <w:iCs/>
          <w:szCs w:val="24"/>
        </w:rPr>
        <w:t>Malaysian Journal of Veterinary Research</w:t>
      </w:r>
      <w:r>
        <w:rPr>
          <w:rFonts w:eastAsia="Times New Roman" w:cs="Times New Roman"/>
          <w:szCs w:val="24"/>
        </w:rPr>
        <w:t xml:space="preserve">, </w:t>
      </w:r>
      <w:r>
        <w:rPr>
          <w:rFonts w:eastAsia="Times New Roman" w:cs="Times New Roman"/>
          <w:b/>
          <w:iCs/>
          <w:szCs w:val="24"/>
        </w:rPr>
        <w:t>2</w:t>
      </w:r>
      <w:r>
        <w:rPr>
          <w:rFonts w:eastAsia="Times New Roman" w:cs="Times New Roman"/>
          <w:szCs w:val="24"/>
        </w:rPr>
        <w:t>(1), pp.45-51.</w:t>
      </w:r>
    </w:p>
    <w:p w14:paraId="09351419">
      <w:pPr>
        <w:ind w:left="567" w:hanging="567"/>
        <w:rPr>
          <w:rFonts w:eastAsia="Times New Roman" w:cs="Times New Roman"/>
          <w:szCs w:val="24"/>
        </w:rPr>
      </w:pPr>
      <w:r>
        <w:rPr>
          <w:rFonts w:eastAsia="Times New Roman" w:cs="Times New Roman"/>
          <w:szCs w:val="24"/>
        </w:rPr>
        <w:t xml:space="preserve">Maizels, R.M. and Yazdanbakhsh, M. (2003): Immune regulation by helminth parasites: cellular and molecular mechanisms. </w:t>
      </w:r>
      <w:r>
        <w:rPr>
          <w:rFonts w:eastAsia="Times New Roman" w:cs="Times New Roman"/>
          <w:i/>
          <w:iCs/>
          <w:szCs w:val="24"/>
        </w:rPr>
        <w:t>Nature Reviews Immunology</w:t>
      </w:r>
      <w:r>
        <w:rPr>
          <w:rFonts w:eastAsia="Times New Roman" w:cs="Times New Roman"/>
          <w:szCs w:val="24"/>
        </w:rPr>
        <w:t xml:space="preserve">, </w:t>
      </w:r>
      <w:r>
        <w:rPr>
          <w:rFonts w:eastAsia="Times New Roman" w:cs="Times New Roman"/>
          <w:b/>
          <w:iCs/>
          <w:szCs w:val="24"/>
        </w:rPr>
        <w:t>3</w:t>
      </w:r>
      <w:r>
        <w:rPr>
          <w:rFonts w:eastAsia="Times New Roman" w:cs="Times New Roman"/>
          <w:szCs w:val="24"/>
        </w:rPr>
        <w:t>(9), pp.733-744.</w:t>
      </w:r>
    </w:p>
    <w:p w14:paraId="36FD5C8D">
      <w:pPr>
        <w:ind w:left="851" w:hanging="851"/>
        <w:rPr>
          <w:rFonts w:eastAsia="Times New Roman" w:cs="Times New Roman"/>
          <w:szCs w:val="24"/>
        </w:rPr>
      </w:pPr>
      <w:r>
        <w:rPr>
          <w:rFonts w:eastAsia="Times New Roman" w:cs="Times New Roman"/>
          <w:szCs w:val="24"/>
        </w:rPr>
        <w:t xml:space="preserve">Marcos-Atxutegi, C., Gandolfi, B., Arangüena, T., Sepúlveda, R., Arévalo, M. and Simón, F. (2009): Antibody and inflammatory responses in laying hens with experimental primary infections of Ascaridia galli. </w:t>
      </w:r>
      <w:r>
        <w:rPr>
          <w:rFonts w:eastAsia="Times New Roman" w:cs="Times New Roman"/>
          <w:i/>
          <w:iCs/>
          <w:szCs w:val="24"/>
        </w:rPr>
        <w:t>Veterinary Parasitology</w:t>
      </w:r>
      <w:r>
        <w:rPr>
          <w:rFonts w:eastAsia="Times New Roman" w:cs="Times New Roman"/>
          <w:szCs w:val="24"/>
        </w:rPr>
        <w:t xml:space="preserve">, </w:t>
      </w:r>
      <w:r>
        <w:rPr>
          <w:rFonts w:eastAsia="Times New Roman" w:cs="Times New Roman"/>
          <w:b/>
          <w:iCs/>
          <w:szCs w:val="24"/>
        </w:rPr>
        <w:t>161</w:t>
      </w:r>
      <w:r>
        <w:rPr>
          <w:rFonts w:eastAsia="Times New Roman" w:cs="Times New Roman"/>
          <w:szCs w:val="24"/>
        </w:rPr>
        <w:t>(1-2), pp.69-75.</w:t>
      </w:r>
    </w:p>
    <w:p w14:paraId="7794FD81">
      <w:pPr>
        <w:ind w:left="851" w:hanging="851"/>
        <w:rPr>
          <w:rFonts w:eastAsia="Times New Roman" w:cs="Times New Roman"/>
          <w:szCs w:val="24"/>
        </w:rPr>
      </w:pPr>
      <w:r>
        <w:rPr>
          <w:rFonts w:eastAsia="Times New Roman" w:cs="Times New Roman"/>
          <w:szCs w:val="24"/>
        </w:rPr>
        <w:t xml:space="preserve">Martinez, J.C.S., Chou, W.K., Berghman, L.R. and Carey, J.B. (2018): Evaluation of the effect of live LaSota Newcastle disease virus vaccine as primary immunization on immune development in broilers. </w:t>
      </w:r>
      <w:r>
        <w:rPr>
          <w:rFonts w:eastAsia="Times New Roman" w:cs="Times New Roman"/>
          <w:i/>
          <w:iCs/>
          <w:szCs w:val="24"/>
        </w:rPr>
        <w:t>Poultry science</w:t>
      </w:r>
      <w:r>
        <w:rPr>
          <w:rFonts w:eastAsia="Times New Roman" w:cs="Times New Roman"/>
          <w:szCs w:val="24"/>
        </w:rPr>
        <w:t xml:space="preserve">, </w:t>
      </w:r>
      <w:r>
        <w:rPr>
          <w:rFonts w:eastAsia="Times New Roman" w:cs="Times New Roman"/>
          <w:b/>
          <w:iCs/>
          <w:szCs w:val="24"/>
        </w:rPr>
        <w:t>97</w:t>
      </w:r>
      <w:r>
        <w:rPr>
          <w:rFonts w:eastAsia="Times New Roman" w:cs="Times New Roman"/>
          <w:szCs w:val="24"/>
        </w:rPr>
        <w:t>(2), pp.455-462.</w:t>
      </w:r>
    </w:p>
    <w:p w14:paraId="5E09A6B2">
      <w:pPr>
        <w:ind w:left="720" w:hanging="720"/>
        <w:rPr>
          <w:rFonts w:eastAsia="Times New Roman" w:cs="Times New Roman"/>
          <w:szCs w:val="24"/>
        </w:rPr>
      </w:pPr>
      <w:r>
        <w:rPr>
          <w:rFonts w:eastAsia="Times New Roman" w:cs="Times New Roman"/>
          <w:szCs w:val="24"/>
        </w:rPr>
        <w:t xml:space="preserve">Mahamud, S.N.A., Bello, M.B., Ideris, A. and Omar, A.R., (2022): Efficacy of genotype-matched Newcastle disease virus vaccine formulated in carboxymethyl sago starch acid hydrogel in chickens vaccinated via different routes. </w:t>
      </w:r>
      <w:r>
        <w:rPr>
          <w:rFonts w:eastAsia="Times New Roman" w:cs="Times New Roman"/>
          <w:i/>
          <w:iCs/>
          <w:szCs w:val="24"/>
        </w:rPr>
        <w:t>Journal of Veterinary Science</w:t>
      </w:r>
      <w:r>
        <w:rPr>
          <w:rFonts w:eastAsia="Times New Roman" w:cs="Times New Roman"/>
          <w:szCs w:val="24"/>
        </w:rPr>
        <w:t xml:space="preserve">, </w:t>
      </w:r>
      <w:r>
        <w:rPr>
          <w:rFonts w:eastAsia="Times New Roman" w:cs="Times New Roman"/>
          <w:b/>
          <w:iCs/>
          <w:szCs w:val="24"/>
        </w:rPr>
        <w:t>23</w:t>
      </w:r>
      <w:r>
        <w:rPr>
          <w:rFonts w:eastAsia="Times New Roman" w:cs="Times New Roman"/>
          <w:szCs w:val="24"/>
        </w:rPr>
        <w:t>(4).</w:t>
      </w:r>
    </w:p>
    <w:p w14:paraId="0A0AC043">
      <w:pPr>
        <w:ind w:left="851" w:hanging="851"/>
        <w:rPr>
          <w:rFonts w:eastAsia="Times New Roman" w:cs="Times New Roman"/>
          <w:szCs w:val="24"/>
        </w:rPr>
      </w:pPr>
      <w:r>
        <w:rPr>
          <w:rFonts w:eastAsia="Times New Roman" w:cs="Times New Roman"/>
          <w:szCs w:val="24"/>
        </w:rPr>
        <w:t>Mshelia, E.S., Korzerzer, R.M. and Ibrahim, U.I. (2016): Comparative Effects of Honey and Multivitamin on the Immune Response of Cockerel Chicks to Vaccination Against new castle Disease (ND) Using Live Attenuated and “Lasota” Vaccine.</w:t>
      </w:r>
      <w:r>
        <w:t xml:space="preserve"> </w:t>
      </w:r>
      <w:r>
        <w:rPr>
          <w:i/>
        </w:rPr>
        <w:t>Journal of Veterinary Science &amp; Research</w:t>
      </w:r>
      <w:r>
        <w:t xml:space="preserve">, </w:t>
      </w:r>
      <w:r>
        <w:rPr>
          <w:b/>
        </w:rPr>
        <w:t>1</w:t>
      </w:r>
      <w:r>
        <w:t>(2), p.000111.</w:t>
      </w:r>
    </w:p>
    <w:p w14:paraId="0096A8C9">
      <w:pPr>
        <w:ind w:left="851" w:hanging="851"/>
        <w:rPr>
          <w:rFonts w:eastAsia="Times New Roman" w:cs="Times New Roman"/>
          <w:szCs w:val="24"/>
        </w:rPr>
      </w:pPr>
      <w:r>
        <w:rPr>
          <w:rFonts w:eastAsia="Times New Roman" w:cs="Times New Roman"/>
          <w:szCs w:val="24"/>
        </w:rPr>
        <w:t xml:space="preserve">Nagy, A., Ali, A., Zain El‐Abideen, M.A., Kilany, W. and Elsayed, M. (2020): Characterization and genetic analysis of recent and emergent virulent newcastle disease viruses in Egypt. </w:t>
      </w:r>
      <w:r>
        <w:rPr>
          <w:rFonts w:eastAsia="Times New Roman" w:cs="Times New Roman"/>
          <w:i/>
          <w:szCs w:val="24"/>
        </w:rPr>
        <w:t>Transboundary and emerging diseases</w:t>
      </w:r>
      <w:r>
        <w:rPr>
          <w:rFonts w:eastAsia="Times New Roman" w:cs="Times New Roman"/>
          <w:szCs w:val="24"/>
        </w:rPr>
        <w:t xml:space="preserve">, </w:t>
      </w:r>
      <w:r>
        <w:rPr>
          <w:rFonts w:eastAsia="Times New Roman" w:cs="Times New Roman"/>
          <w:b/>
          <w:szCs w:val="24"/>
        </w:rPr>
        <w:t>67</w:t>
      </w:r>
      <w:r>
        <w:rPr>
          <w:rFonts w:eastAsia="Times New Roman" w:cs="Times New Roman"/>
          <w:szCs w:val="24"/>
        </w:rPr>
        <w:t>(5), pp.2000-2012.</w:t>
      </w:r>
    </w:p>
    <w:p w14:paraId="50B67219">
      <w:pPr>
        <w:ind w:left="851" w:hanging="851"/>
        <w:rPr>
          <w:rFonts w:eastAsia="Times New Roman" w:cs="Times New Roman"/>
          <w:szCs w:val="24"/>
        </w:rPr>
      </w:pPr>
      <w:r>
        <w:rPr>
          <w:rFonts w:eastAsia="Times New Roman" w:cs="Times New Roman"/>
          <w:szCs w:val="24"/>
        </w:rPr>
        <w:t xml:space="preserve">Palya, V., Kiss, I., Tatar-Kis, T., Mato, T., Felföldi, B. and Gardin, Y. (2012): Advancement in vaccination against Newcastle disease: recombinant HVT NDV provides high clinical protection and reduces challenge virus shedding with the absence of vaccine reactions. </w:t>
      </w:r>
      <w:r>
        <w:rPr>
          <w:rFonts w:eastAsia="Times New Roman" w:cs="Times New Roman"/>
          <w:i/>
          <w:iCs/>
          <w:szCs w:val="24"/>
        </w:rPr>
        <w:t>Avian diseases</w:t>
      </w:r>
      <w:r>
        <w:rPr>
          <w:rFonts w:eastAsia="Times New Roman" w:cs="Times New Roman"/>
          <w:szCs w:val="24"/>
        </w:rPr>
        <w:t xml:space="preserve">, </w:t>
      </w:r>
      <w:r>
        <w:rPr>
          <w:rFonts w:eastAsia="Times New Roman" w:cs="Times New Roman"/>
          <w:b/>
          <w:iCs/>
          <w:szCs w:val="24"/>
        </w:rPr>
        <w:t>56</w:t>
      </w:r>
      <w:r>
        <w:rPr>
          <w:rFonts w:eastAsia="Times New Roman" w:cs="Times New Roman"/>
          <w:szCs w:val="24"/>
        </w:rPr>
        <w:t>(2), pp.282-287.</w:t>
      </w:r>
    </w:p>
    <w:p w14:paraId="6C94F627">
      <w:pPr>
        <w:ind w:left="851" w:hanging="851"/>
        <w:rPr>
          <w:rFonts w:eastAsia="Times New Roman" w:cs="Times New Roman"/>
          <w:szCs w:val="24"/>
        </w:rPr>
      </w:pPr>
      <w:r>
        <w:rPr>
          <w:rFonts w:eastAsia="Times New Roman" w:cs="Times New Roman"/>
          <w:szCs w:val="24"/>
        </w:rPr>
        <w:t xml:space="preserve">Pearlman, E., Kazura, J.W., Hazlett Jr, F.E. and Boom, W.H. (1993): Modulation of murine cytokine responses to mycobacterial antigens by helminth-induced T helper 2 cell responses. </w:t>
      </w:r>
      <w:r>
        <w:rPr>
          <w:rFonts w:eastAsia="Times New Roman" w:cs="Times New Roman"/>
          <w:i/>
          <w:iCs/>
          <w:szCs w:val="24"/>
        </w:rPr>
        <w:t>Journal of immunology (Baltimore, Md.: 1950)</w:t>
      </w:r>
      <w:r>
        <w:rPr>
          <w:rFonts w:eastAsia="Times New Roman" w:cs="Times New Roman"/>
          <w:szCs w:val="24"/>
        </w:rPr>
        <w:t xml:space="preserve">, </w:t>
      </w:r>
      <w:r>
        <w:rPr>
          <w:rFonts w:eastAsia="Times New Roman" w:cs="Times New Roman"/>
          <w:b/>
          <w:iCs/>
          <w:szCs w:val="24"/>
        </w:rPr>
        <w:t>151</w:t>
      </w:r>
      <w:r>
        <w:rPr>
          <w:rFonts w:eastAsia="Times New Roman" w:cs="Times New Roman"/>
          <w:szCs w:val="24"/>
        </w:rPr>
        <w:t>(9), pp.4857-4864.</w:t>
      </w:r>
    </w:p>
    <w:p w14:paraId="7E84F12D">
      <w:pPr>
        <w:ind w:left="851" w:hanging="851"/>
        <w:rPr>
          <w:rFonts w:eastAsia="Times New Roman" w:cs="Times New Roman"/>
          <w:szCs w:val="24"/>
        </w:rPr>
      </w:pPr>
      <w:r>
        <w:rPr>
          <w:rFonts w:eastAsia="Times New Roman" w:cs="Times New Roman"/>
          <w:szCs w:val="24"/>
        </w:rPr>
        <w:t xml:space="preserve">Pleidrup, J., Dalgaard, T.S., Norup, L.R., Permin, A., Schou, T.W., Skovgaard, K., Vadekær, D.F., Jungersen, G., Sørensen, P. and Juul-Madsen, H.R. (2014): Ascaridia galli infection influences the development of both humoral and cell-mediated immunity after Newcastle Disease vaccination in chickens. </w:t>
      </w:r>
      <w:r>
        <w:rPr>
          <w:rFonts w:eastAsia="Times New Roman" w:cs="Times New Roman"/>
          <w:i/>
          <w:iCs/>
          <w:szCs w:val="24"/>
        </w:rPr>
        <w:t>Vaccine</w:t>
      </w:r>
      <w:r>
        <w:rPr>
          <w:rFonts w:eastAsia="Times New Roman" w:cs="Times New Roman"/>
          <w:szCs w:val="24"/>
        </w:rPr>
        <w:t xml:space="preserve">, </w:t>
      </w:r>
      <w:r>
        <w:rPr>
          <w:rFonts w:eastAsia="Times New Roman" w:cs="Times New Roman"/>
          <w:b/>
          <w:iCs/>
          <w:szCs w:val="24"/>
        </w:rPr>
        <w:t>32</w:t>
      </w:r>
      <w:r>
        <w:rPr>
          <w:rFonts w:eastAsia="Times New Roman" w:cs="Times New Roman"/>
          <w:szCs w:val="24"/>
        </w:rPr>
        <w:t>(3), pp.383-392.</w:t>
      </w:r>
    </w:p>
    <w:p w14:paraId="1DB46F6E">
      <w:pPr>
        <w:ind w:left="567" w:hanging="567"/>
        <w:rPr>
          <w:rFonts w:eastAsia="Times New Roman" w:cs="Times New Roman"/>
          <w:szCs w:val="24"/>
        </w:rPr>
      </w:pPr>
      <w:r>
        <w:rPr>
          <w:rFonts w:eastAsia="Times New Roman" w:cs="Times New Roman"/>
          <w:szCs w:val="24"/>
        </w:rPr>
        <w:t xml:space="preserve">Rabiei, M., Cahyono, M.I., Doan, P.T.K., Pandarangga, P., Tarigan, S., Indriani, R., Dharmayanti, I., Ignjatovic, J., Low, W.Y., Tearle, R. and McAllister, M.M. (2020): Genome sequences of newly emerged Newcastle disease virus strains isolated from disease outbreaks in Indonesia. </w:t>
      </w:r>
      <w:r>
        <w:rPr>
          <w:rFonts w:eastAsia="Times New Roman" w:cs="Times New Roman"/>
          <w:i/>
          <w:iCs/>
          <w:szCs w:val="24"/>
        </w:rPr>
        <w:t>Microbiology resource announcements</w:t>
      </w:r>
      <w:r>
        <w:rPr>
          <w:rFonts w:eastAsia="Times New Roman" w:cs="Times New Roman"/>
          <w:szCs w:val="24"/>
        </w:rPr>
        <w:t xml:space="preserve">, </w:t>
      </w:r>
      <w:r>
        <w:rPr>
          <w:rFonts w:eastAsia="Times New Roman" w:cs="Times New Roman"/>
          <w:b/>
          <w:iCs/>
          <w:szCs w:val="24"/>
        </w:rPr>
        <w:t>9</w:t>
      </w:r>
      <w:r>
        <w:rPr>
          <w:rFonts w:eastAsia="Times New Roman" w:cs="Times New Roman"/>
          <w:szCs w:val="24"/>
        </w:rPr>
        <w:t>(23), pp.10-1128.</w:t>
      </w:r>
    </w:p>
    <w:p w14:paraId="5C9869FA">
      <w:pPr>
        <w:ind w:left="851" w:hanging="851"/>
        <w:rPr>
          <w:rFonts w:eastAsia="Times New Roman" w:cs="Times New Roman"/>
          <w:szCs w:val="24"/>
        </w:rPr>
      </w:pPr>
      <w:r>
        <w:rPr>
          <w:rFonts w:eastAsia="Times New Roman" w:cs="Times New Roman"/>
          <w:szCs w:val="24"/>
        </w:rPr>
        <w:t xml:space="preserve">Saadoon Ibadi Al-Alwani, W. and Hamle Abid, H. (2023): Comparative Effect of Ascaridia Galli Infection on the Two Laying Hen Lines on the Liver Function and Immune Response. </w:t>
      </w:r>
      <w:r>
        <w:rPr>
          <w:rFonts w:eastAsia="Times New Roman" w:cs="Times New Roman"/>
          <w:i/>
          <w:iCs/>
          <w:szCs w:val="24"/>
        </w:rPr>
        <w:t>Archives of Razi Institute</w:t>
      </w:r>
      <w:r>
        <w:rPr>
          <w:rFonts w:eastAsia="Times New Roman" w:cs="Times New Roman"/>
          <w:szCs w:val="24"/>
        </w:rPr>
        <w:t xml:space="preserve">, </w:t>
      </w:r>
      <w:r>
        <w:rPr>
          <w:rFonts w:eastAsia="Times New Roman" w:cs="Times New Roman"/>
          <w:b/>
          <w:iCs/>
          <w:szCs w:val="24"/>
        </w:rPr>
        <w:t>78</w:t>
      </w:r>
      <w:r>
        <w:rPr>
          <w:rFonts w:eastAsia="Times New Roman" w:cs="Times New Roman"/>
          <w:szCs w:val="24"/>
        </w:rPr>
        <w:t>(3), pp.1065-1070.</w:t>
      </w:r>
    </w:p>
    <w:p w14:paraId="66C915D5">
      <w:pPr>
        <w:ind w:left="567" w:hanging="567"/>
      </w:pPr>
      <w:r>
        <w:rPr>
          <w:rFonts w:eastAsia="Times New Roman" w:cs="Times New Roman"/>
          <w:szCs w:val="24"/>
        </w:rPr>
        <w:t>Schwarz, A., Gauly, M., Abel, H., Daş, G., Humburg, J., Rohn, K., Breves, G. and Rautenschlein, S. (2011): Immunopathogenesis of Ascaridia galli infection in layer chicken.</w:t>
      </w:r>
      <w:r>
        <w:rPr>
          <w:rFonts w:eastAsia="Times New Roman" w:cs="Times New Roman"/>
          <w:i/>
          <w:iCs/>
          <w:szCs w:val="24"/>
        </w:rPr>
        <w:t xml:space="preserve"> Developmental and Comparative Immunology</w:t>
      </w:r>
      <w:r>
        <w:rPr>
          <w:rFonts w:eastAsia="Times New Roman" w:cs="Times New Roman"/>
          <w:szCs w:val="24"/>
        </w:rPr>
        <w:t xml:space="preserve">, </w:t>
      </w:r>
      <w:r>
        <w:rPr>
          <w:rFonts w:eastAsia="Times New Roman" w:cs="Times New Roman"/>
          <w:b/>
          <w:iCs/>
          <w:szCs w:val="24"/>
        </w:rPr>
        <w:t>35</w:t>
      </w:r>
      <w:r>
        <w:rPr>
          <w:rFonts w:eastAsia="Times New Roman" w:cs="Times New Roman"/>
          <w:szCs w:val="24"/>
        </w:rPr>
        <w:t>(7), pp.774-784.</w:t>
      </w:r>
    </w:p>
    <w:p w14:paraId="446332AA">
      <w:pPr>
        <w:ind w:left="567" w:hanging="567"/>
        <w:rPr>
          <w:rFonts w:eastAsia="Times New Roman" w:cs="Times New Roman"/>
          <w:szCs w:val="24"/>
        </w:rPr>
      </w:pPr>
      <w:r>
        <w:rPr>
          <w:rFonts w:eastAsia="Times New Roman" w:cs="Times New Roman"/>
          <w:szCs w:val="24"/>
        </w:rPr>
        <w:t xml:space="preserve">Sharma, N., Hunt, P.W., Hine, B.C., McNally, J., Sharma, N.K., Iqbal, Z., Normant, C., Andronicos, N.M., Swick, R.A. and Ruhnke, I. (2018): Effect of an artificial Ascaridia galli infection on egg production, immune response, and liver lipid reserve of free-range laying hens. </w:t>
      </w:r>
      <w:r>
        <w:rPr>
          <w:rFonts w:eastAsia="Times New Roman" w:cs="Times New Roman"/>
          <w:i/>
          <w:iCs/>
          <w:szCs w:val="24"/>
        </w:rPr>
        <w:t>Poultry science</w:t>
      </w:r>
      <w:r>
        <w:rPr>
          <w:rFonts w:eastAsia="Times New Roman" w:cs="Times New Roman"/>
          <w:szCs w:val="24"/>
        </w:rPr>
        <w:t xml:space="preserve">, </w:t>
      </w:r>
      <w:r>
        <w:rPr>
          <w:rFonts w:eastAsia="Times New Roman" w:cs="Times New Roman"/>
          <w:b/>
          <w:iCs/>
          <w:szCs w:val="24"/>
        </w:rPr>
        <w:t>97</w:t>
      </w:r>
      <w:r>
        <w:rPr>
          <w:rFonts w:eastAsia="Times New Roman" w:cs="Times New Roman"/>
          <w:szCs w:val="24"/>
        </w:rPr>
        <w:t>(2), pp.494-502.</w:t>
      </w:r>
    </w:p>
    <w:p w14:paraId="588DA3B0">
      <w:pPr>
        <w:ind w:left="851" w:hanging="851"/>
        <w:rPr>
          <w:rFonts w:eastAsia="Times New Roman" w:cs="Times New Roman"/>
          <w:szCs w:val="24"/>
        </w:rPr>
      </w:pPr>
      <w:r>
        <w:rPr>
          <w:rFonts w:eastAsia="Times New Roman" w:cs="Times New Roman"/>
          <w:szCs w:val="24"/>
        </w:rPr>
        <w:t xml:space="preserve">Sultan, H.A., Elfeil, W.K., Nour, A.A., Tantawy, L., Kamel, E.G., Eed, E.M., El Askary, A. and Talaat, S. (2021): Efficacy of the Newcastle disease virus genotype VII. 1.1-matched vaccines in commercial broilers. </w:t>
      </w:r>
      <w:r>
        <w:rPr>
          <w:rFonts w:eastAsia="Times New Roman" w:cs="Times New Roman"/>
          <w:i/>
          <w:iCs/>
          <w:szCs w:val="24"/>
        </w:rPr>
        <w:t>Vaccines</w:t>
      </w:r>
      <w:r>
        <w:rPr>
          <w:rFonts w:eastAsia="Times New Roman" w:cs="Times New Roman"/>
          <w:szCs w:val="24"/>
        </w:rPr>
        <w:t xml:space="preserve">, </w:t>
      </w:r>
      <w:r>
        <w:rPr>
          <w:rFonts w:eastAsia="Times New Roman" w:cs="Times New Roman"/>
          <w:b/>
          <w:iCs/>
          <w:szCs w:val="24"/>
        </w:rPr>
        <w:t>10</w:t>
      </w:r>
      <w:r>
        <w:rPr>
          <w:rFonts w:eastAsia="Times New Roman" w:cs="Times New Roman"/>
          <w:szCs w:val="24"/>
        </w:rPr>
        <w:t>(1), p.29.</w:t>
      </w:r>
    </w:p>
    <w:p w14:paraId="0E3D635F">
      <w:pPr>
        <w:ind w:left="567" w:hanging="567"/>
        <w:rPr>
          <w:rFonts w:eastAsia="Times New Roman" w:cs="Times New Roman"/>
          <w:szCs w:val="24"/>
        </w:rPr>
      </w:pPr>
      <w:r>
        <w:rPr>
          <w:rFonts w:eastAsia="Times New Roman" w:cs="Times New Roman"/>
          <w:szCs w:val="24"/>
        </w:rPr>
        <w:t xml:space="preserve">Sultan, H.A., Talaat, S., Elfeil, W.K., Selim, K., Kutkat, M.A., Amer, S.A. and Choi, K.S. (2020): Protective efficacy of the Newcastle disease virus genotype VII–matched vaccine in commercial layers. </w:t>
      </w:r>
      <w:r>
        <w:rPr>
          <w:rFonts w:eastAsia="Times New Roman" w:cs="Times New Roman"/>
          <w:i/>
          <w:iCs/>
          <w:szCs w:val="24"/>
        </w:rPr>
        <w:t>Poultry Science</w:t>
      </w:r>
      <w:r>
        <w:rPr>
          <w:rFonts w:eastAsia="Times New Roman" w:cs="Times New Roman"/>
          <w:szCs w:val="24"/>
        </w:rPr>
        <w:t xml:space="preserve">, </w:t>
      </w:r>
      <w:r>
        <w:rPr>
          <w:rFonts w:eastAsia="Times New Roman" w:cs="Times New Roman"/>
          <w:b/>
          <w:iCs/>
          <w:szCs w:val="24"/>
        </w:rPr>
        <w:t>99</w:t>
      </w:r>
      <w:r>
        <w:rPr>
          <w:rFonts w:eastAsia="Times New Roman" w:cs="Times New Roman"/>
          <w:szCs w:val="24"/>
        </w:rPr>
        <w:t>(3), pp.1275-1286.</w:t>
      </w:r>
    </w:p>
    <w:p w14:paraId="0B8245BA">
      <w:pPr>
        <w:ind w:left="851" w:hanging="851"/>
        <w:rPr>
          <w:rFonts w:eastAsia="Times New Roman" w:cs="Times New Roman"/>
          <w:szCs w:val="24"/>
        </w:rPr>
      </w:pPr>
      <w:r>
        <w:rPr>
          <w:rFonts w:eastAsia="Times New Roman" w:cs="Times New Roman"/>
          <w:szCs w:val="24"/>
        </w:rPr>
        <w:t xml:space="preserve">Timms, L. and Alexander, D.J. (1977): Cell‐mediated immune response of chickens to Newcastle disease vaccines. </w:t>
      </w:r>
      <w:r>
        <w:rPr>
          <w:rFonts w:eastAsia="Times New Roman" w:cs="Times New Roman"/>
          <w:i/>
          <w:iCs/>
          <w:szCs w:val="24"/>
        </w:rPr>
        <w:t>Avian pathology</w:t>
      </w:r>
      <w:r>
        <w:rPr>
          <w:rFonts w:eastAsia="Times New Roman" w:cs="Times New Roman"/>
          <w:szCs w:val="24"/>
        </w:rPr>
        <w:t xml:space="preserve">, </w:t>
      </w:r>
      <w:r>
        <w:rPr>
          <w:rFonts w:eastAsia="Times New Roman" w:cs="Times New Roman"/>
          <w:b/>
          <w:iCs/>
          <w:szCs w:val="24"/>
        </w:rPr>
        <w:t>6</w:t>
      </w:r>
      <w:r>
        <w:rPr>
          <w:rFonts w:eastAsia="Times New Roman" w:cs="Times New Roman"/>
          <w:szCs w:val="24"/>
        </w:rPr>
        <w:t>(1), pp.51-59.</w:t>
      </w:r>
    </w:p>
    <w:p w14:paraId="470E4488">
      <w:pPr>
        <w:ind w:left="567" w:hanging="567"/>
        <w:rPr>
          <w:rFonts w:eastAsia="Times New Roman" w:cs="Times New Roman"/>
          <w:szCs w:val="24"/>
        </w:rPr>
      </w:pPr>
      <w:r>
        <w:rPr>
          <w:bCs/>
          <w:szCs w:val="24"/>
          <w:shd w:val="clear" w:color="auto" w:fill="FFFFFF"/>
          <w:lang w:val="en-GB"/>
        </w:rPr>
        <w:t>Tizard, I R (1996):</w:t>
      </w:r>
      <w:r>
        <w:rPr>
          <w:szCs w:val="24"/>
          <w:shd w:val="clear" w:color="auto" w:fill="FFFFFF"/>
          <w:lang w:val="en-GB"/>
        </w:rPr>
        <w:t xml:space="preserve"> Veterinary Immunology, </w:t>
      </w:r>
      <w:r>
        <w:rPr>
          <w:i/>
          <w:szCs w:val="24"/>
          <w:shd w:val="clear" w:color="auto" w:fill="FFFFFF"/>
          <w:lang w:val="en-GB"/>
        </w:rPr>
        <w:t>An introduction</w:t>
      </w:r>
      <w:r>
        <w:rPr>
          <w:szCs w:val="24"/>
          <w:shd w:val="clear" w:color="auto" w:fill="FFFFFF"/>
          <w:lang w:val="en-GB"/>
        </w:rPr>
        <w:t>. 5</w:t>
      </w:r>
      <w:r>
        <w:rPr>
          <w:szCs w:val="24"/>
          <w:shd w:val="clear" w:color="auto" w:fill="FFFFFF"/>
          <w:vertAlign w:val="superscript"/>
          <w:lang w:val="en-GB"/>
        </w:rPr>
        <w:t>th</w:t>
      </w:r>
      <w:r>
        <w:rPr>
          <w:szCs w:val="24"/>
          <w:shd w:val="clear" w:color="auto" w:fill="FFFFFF"/>
          <w:lang w:val="en-GB"/>
        </w:rPr>
        <w:t xml:space="preserve"> ed. W. B. Saunders Company. Philadelphia, Pennslyvania. USA. eds. pp 280-283.</w:t>
      </w:r>
      <w:r>
        <w:rPr>
          <w:bCs/>
          <w:szCs w:val="24"/>
          <w:shd w:val="clear" w:color="auto" w:fill="FFFFFF"/>
          <w:lang w:val="en-GB"/>
        </w:rPr>
        <w:t> </w:t>
      </w:r>
    </w:p>
    <w:p w14:paraId="70E205E3">
      <w:pPr>
        <w:ind w:left="567" w:hanging="567"/>
        <w:rPr>
          <w:rFonts w:eastAsia="Times New Roman" w:cs="Times New Roman"/>
          <w:szCs w:val="24"/>
        </w:rPr>
      </w:pPr>
      <w:r>
        <w:rPr>
          <w:rFonts w:eastAsia="Times New Roman" w:cs="Times New Roman"/>
          <w:szCs w:val="24"/>
        </w:rPr>
        <w:t xml:space="preserve">Xiao, S., Paldurai, A., Nayak, B., Samuel, A., Bharoto, E.E., Prajitno, T.Y., Collins, P.L. and Samal, S.K. (2012): Complete genome sequences of Newcastle disease virus strains circulating in chicken populations of Indonesia. </w:t>
      </w:r>
      <w:r>
        <w:rPr>
          <w:rFonts w:eastAsia="Times New Roman" w:cs="Times New Roman"/>
          <w:i/>
          <w:szCs w:val="24"/>
        </w:rPr>
        <w:t>Journal of Virology</w:t>
      </w:r>
      <w:r>
        <w:rPr>
          <w:rFonts w:eastAsia="Times New Roman" w:cs="Times New Roman"/>
          <w:szCs w:val="24"/>
        </w:rPr>
        <w:t xml:space="preserve">, </w:t>
      </w:r>
      <w:r>
        <w:rPr>
          <w:rFonts w:eastAsia="Times New Roman" w:cs="Times New Roman"/>
          <w:b/>
          <w:szCs w:val="24"/>
        </w:rPr>
        <w:t>86</w:t>
      </w:r>
      <w:r>
        <w:rPr>
          <w:rFonts w:eastAsia="Times New Roman" w:cs="Times New Roman"/>
          <w:szCs w:val="24"/>
        </w:rPr>
        <w:t>, p.10.</w:t>
      </w:r>
    </w:p>
    <w:p w14:paraId="350A3E95"/>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6CB31">
    <w:pPr>
      <w:pStyle w:val="15"/>
      <w:jc w:val="center"/>
    </w:pPr>
  </w:p>
  <w:p w14:paraId="36C438FC">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66609064"/>
      <w:docPartObj>
        <w:docPartGallery w:val="autotext"/>
      </w:docPartObj>
    </w:sdtPr>
    <w:sdtContent>
      <w:p w14:paraId="3944768F">
        <w:pPr>
          <w:pStyle w:val="15"/>
          <w:jc w:val="center"/>
        </w:pPr>
        <w:r>
          <w:fldChar w:fldCharType="begin"/>
        </w:r>
        <w:r>
          <w:instrText xml:space="preserve"> PAGE   \* MERGEFORMAT </w:instrText>
        </w:r>
        <w:r>
          <w:fldChar w:fldCharType="separate"/>
        </w:r>
        <w:r>
          <w:t>II</w:t>
        </w:r>
        <w:r>
          <w:fldChar w:fldCharType="end"/>
        </w:r>
      </w:p>
    </w:sdtContent>
  </w:sdt>
  <w:p w14:paraId="2DFC3408">
    <w:pPr>
      <w:pStyle w:val="1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66609065"/>
      <w:docPartObj>
        <w:docPartGallery w:val="autotext"/>
      </w:docPartObj>
    </w:sdtPr>
    <w:sdtContent>
      <w:p w14:paraId="2D8C936B">
        <w:pPr>
          <w:pStyle w:val="15"/>
          <w:jc w:val="center"/>
        </w:pPr>
        <w:r>
          <w:fldChar w:fldCharType="begin"/>
        </w:r>
        <w:r>
          <w:instrText xml:space="preserve"> PAGE   \* MERGEFORMAT </w:instrText>
        </w:r>
        <w:r>
          <w:fldChar w:fldCharType="separate"/>
        </w:r>
        <w:r>
          <w:t>1</w:t>
        </w:r>
        <w:r>
          <w:fldChar w:fldCharType="end"/>
        </w:r>
      </w:p>
    </w:sdtContent>
  </w:sdt>
  <w:p w14:paraId="5064F5D7">
    <w:pPr>
      <w:pStyle w:val="1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pPr>
      <w:r>
        <w:separator/>
      </w:r>
    </w:p>
  </w:footnote>
  <w:footnote w:type="continuationSeparator" w:id="1">
    <w:p>
      <w:pPr>
        <w:spacing w:before="0" w:after="0"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numPicBullet w:numPicBulletId="0">
    <w:pict>
      <v:shape id="0" type="#_x0000_t75" style="width:13px;height:13px" o:bullet="t">
        <v:imagedata r:id="rId1" o:title=""/>
      </v:shape>
    </w:pict>
  </w:numPicBullet>
  <w:numPicBullet w:numPicBulletId="1">
    <w:pict>
      <v:shape id="1" type="#_x0000_t75" style="width:13px;height:13px" o:bullet="t">
        <v:imagedata r:id="rId2" o:title=""/>
      </v:shape>
    </w:pict>
  </w:numPicBullet>
  <w:abstractNum w:abstractNumId="0">
    <w:nsid w:val="041B3C7F"/>
    <w:multiLevelType w:val="multilevel"/>
    <w:tmpl w:val="041B3C7F"/>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1BD5702C"/>
    <w:multiLevelType w:val="multilevel"/>
    <w:tmpl w:val="1BD5702C"/>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2D321A11"/>
    <w:multiLevelType w:val="multilevel"/>
    <w:tmpl w:val="2D321A11"/>
    <w:lvl w:ilvl="0" w:tentative="0">
      <w:start w:val="1"/>
      <w:numFmt w:val="bullet"/>
      <w:lvlText w:val=""/>
      <w:lvlPicBulletId w:val="0"/>
      <w:lvlJc w:val="left"/>
      <w:pPr>
        <w:ind w:left="720" w:hanging="360"/>
      </w:pPr>
      <w:rPr>
        <w:rFonts w:hint="default" w:ascii="Symbol" w:hAnsi="Symbol"/>
        <w:color w:val="auto"/>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
    <w:nsid w:val="450C2735"/>
    <w:multiLevelType w:val="multilevel"/>
    <w:tmpl w:val="450C2735"/>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4">
    <w:nsid w:val="7F3D08D5"/>
    <w:multiLevelType w:val="multilevel"/>
    <w:tmpl w:val="7F3D08D5"/>
    <w:lvl w:ilvl="0" w:tentative="0">
      <w:start w:val="1"/>
      <w:numFmt w:val="bullet"/>
      <w:lvlText w:val=""/>
      <w:lvlPicBulletId w:val="1"/>
      <w:lvlJc w:val="left"/>
      <w:pPr>
        <w:ind w:left="720" w:hanging="360"/>
      </w:pPr>
      <w:rPr>
        <w:rFonts w:hint="default" w:ascii="Symbol" w:hAnsi="Symbol"/>
        <w:color w:val="auto"/>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0"/>
  </w:num>
  <w:num w:numId="2">
    <w:abstractNumId w:val="3"/>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B7E"/>
    <w:rsid w:val="00086B7E"/>
    <w:rsid w:val="000A6FA7"/>
    <w:rsid w:val="001C1251"/>
    <w:rsid w:val="001E0987"/>
    <w:rsid w:val="00273FDC"/>
    <w:rsid w:val="00276100"/>
    <w:rsid w:val="002B6D79"/>
    <w:rsid w:val="002F69AA"/>
    <w:rsid w:val="00406735"/>
    <w:rsid w:val="004330F4"/>
    <w:rsid w:val="004B5EBD"/>
    <w:rsid w:val="006102E9"/>
    <w:rsid w:val="00682429"/>
    <w:rsid w:val="007870EA"/>
    <w:rsid w:val="0083139C"/>
    <w:rsid w:val="008A62BB"/>
    <w:rsid w:val="00A40E8F"/>
    <w:rsid w:val="00A56FBC"/>
    <w:rsid w:val="00B2512E"/>
    <w:rsid w:val="00C93693"/>
    <w:rsid w:val="00CD0C42"/>
    <w:rsid w:val="00D63EEA"/>
    <w:rsid w:val="00DF64B5"/>
    <w:rsid w:val="00E1102F"/>
    <w:rsid w:val="00E45E0F"/>
    <w:rsid w:val="00F131DD"/>
    <w:rsid w:val="00FC41BC"/>
    <w:rsid w:val="00FD11FB"/>
    <w:rsid w:val="00FF06E8"/>
    <w:rsid w:val="41FF2894"/>
    <w:rsid w:val="5AD53F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qFormat="1"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qFormat="1"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qFormat="1"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360" w:lineRule="auto"/>
      <w:jc w:val="both"/>
    </w:pPr>
    <w:rPr>
      <w:rFonts w:ascii="Times New Roman" w:hAnsi="Times New Roman" w:eastAsiaTheme="minorHAnsi" w:cstheme="minorBidi"/>
      <w:sz w:val="24"/>
      <w:szCs w:val="22"/>
      <w:lang w:val="en-US" w:eastAsia="en-US" w:bidi="ar-SA"/>
    </w:rPr>
  </w:style>
  <w:style w:type="paragraph" w:styleId="2">
    <w:name w:val="heading 1"/>
    <w:basedOn w:val="1"/>
    <w:next w:val="1"/>
    <w:link w:val="25"/>
    <w:autoRedefine/>
    <w:qFormat/>
    <w:uiPriority w:val="9"/>
    <w:pPr>
      <w:keepNext/>
      <w:keepLines/>
      <w:spacing w:line="240" w:lineRule="auto"/>
      <w:outlineLvl w:val="0"/>
    </w:pPr>
    <w:rPr>
      <w:rFonts w:cs="Times New Roman" w:eastAsiaTheme="majorEastAsia"/>
      <w:b/>
      <w:bCs/>
      <w:szCs w:val="28"/>
    </w:rPr>
  </w:style>
  <w:style w:type="paragraph" w:styleId="3">
    <w:name w:val="heading 2"/>
    <w:basedOn w:val="1"/>
    <w:next w:val="1"/>
    <w:link w:val="26"/>
    <w:unhideWhenUsed/>
    <w:qFormat/>
    <w:uiPriority w:val="9"/>
    <w:pPr>
      <w:keepNext/>
      <w:keepLines/>
      <w:spacing w:before="260" w:after="260" w:line="416" w:lineRule="auto"/>
      <w:outlineLvl w:val="1"/>
    </w:pPr>
    <w:rPr>
      <w:b/>
      <w:bCs/>
      <w:szCs w:val="32"/>
    </w:rPr>
  </w:style>
  <w:style w:type="paragraph" w:styleId="4">
    <w:name w:val="heading 3"/>
    <w:basedOn w:val="1"/>
    <w:next w:val="1"/>
    <w:link w:val="27"/>
    <w:unhideWhenUsed/>
    <w:qFormat/>
    <w:uiPriority w:val="9"/>
    <w:pPr>
      <w:keepNext/>
      <w:keepLines/>
      <w:spacing w:before="260" w:after="260" w:line="416" w:lineRule="auto"/>
      <w:jc w:val="left"/>
      <w:outlineLvl w:val="2"/>
    </w:pPr>
    <w:rPr>
      <w:bCs/>
      <w:i/>
      <w:szCs w:val="32"/>
    </w:rPr>
  </w:style>
  <w:style w:type="paragraph" w:styleId="5">
    <w:name w:val="heading 4"/>
    <w:basedOn w:val="1"/>
    <w:next w:val="1"/>
    <w:link w:val="28"/>
    <w:unhideWhenUsed/>
    <w:qFormat/>
    <w:uiPriority w:val="9"/>
    <w:pPr>
      <w:keepNext/>
      <w:keepLines/>
      <w:spacing w:before="40" w:line="259" w:lineRule="auto"/>
      <w:jc w:val="left"/>
      <w:outlineLvl w:val="3"/>
    </w:pPr>
    <w:rPr>
      <w:rFonts w:asciiTheme="minorHAnsi" w:hAnsiTheme="minorHAnsi" w:eastAsiaTheme="majorEastAsia" w:cstheme="majorBidi"/>
      <w:iCs/>
    </w:rPr>
  </w:style>
  <w:style w:type="paragraph" w:styleId="6">
    <w:name w:val="heading 5"/>
    <w:basedOn w:val="1"/>
    <w:next w:val="1"/>
    <w:link w:val="29"/>
    <w:semiHidden/>
    <w:unhideWhenUsed/>
    <w:qFormat/>
    <w:uiPriority w:val="9"/>
    <w:pPr>
      <w:keepNext/>
      <w:keepLines/>
      <w:spacing w:before="200"/>
      <w:outlineLvl w:val="4"/>
    </w:pPr>
    <w:rPr>
      <w:rFonts w:asciiTheme="majorHAnsi" w:hAnsiTheme="majorHAnsi" w:eastAsiaTheme="majorEastAsia" w:cstheme="majorBidi"/>
      <w:color w:val="254061" w:themeColor="accent1" w:themeShade="80"/>
    </w:rPr>
  </w:style>
  <w:style w:type="character" w:default="1" w:styleId="7">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9">
    <w:name w:val="Balloon Text"/>
    <w:basedOn w:val="1"/>
    <w:link w:val="32"/>
    <w:semiHidden/>
    <w:unhideWhenUsed/>
    <w:qFormat/>
    <w:uiPriority w:val="99"/>
    <w:pPr>
      <w:spacing w:line="240" w:lineRule="auto"/>
    </w:pPr>
    <w:rPr>
      <w:rFonts w:ascii="Tahoma" w:hAnsi="Tahoma" w:cs="Tahoma"/>
      <w:sz w:val="16"/>
      <w:szCs w:val="16"/>
    </w:rPr>
  </w:style>
  <w:style w:type="paragraph" w:styleId="10">
    <w:name w:val="caption"/>
    <w:basedOn w:val="1"/>
    <w:next w:val="1"/>
    <w:unhideWhenUsed/>
    <w:qFormat/>
    <w:uiPriority w:val="35"/>
    <w:pPr>
      <w:spacing w:after="200" w:line="240" w:lineRule="auto"/>
    </w:pPr>
    <w:rPr>
      <w:b/>
      <w:bCs/>
      <w:color w:val="4F81BD" w:themeColor="accent1"/>
      <w:sz w:val="18"/>
      <w:szCs w:val="18"/>
      <w14:textFill>
        <w14:solidFill>
          <w14:schemeClr w14:val="accent1"/>
        </w14:solidFill>
      </w14:textFill>
    </w:rPr>
  </w:style>
  <w:style w:type="paragraph" w:styleId="11">
    <w:name w:val="annotation text"/>
    <w:basedOn w:val="1"/>
    <w:link w:val="36"/>
    <w:semiHidden/>
    <w:unhideWhenUsed/>
    <w:qFormat/>
    <w:uiPriority w:val="99"/>
    <w:pPr>
      <w:spacing w:line="240" w:lineRule="auto"/>
    </w:pPr>
    <w:rPr>
      <w:sz w:val="20"/>
      <w:szCs w:val="20"/>
    </w:rPr>
  </w:style>
  <w:style w:type="paragraph" w:styleId="12">
    <w:name w:val="annotation subject"/>
    <w:basedOn w:val="11"/>
    <w:next w:val="11"/>
    <w:link w:val="37"/>
    <w:semiHidden/>
    <w:unhideWhenUsed/>
    <w:qFormat/>
    <w:uiPriority w:val="99"/>
    <w:rPr>
      <w:b/>
      <w:bCs/>
    </w:rPr>
  </w:style>
  <w:style w:type="paragraph" w:styleId="13">
    <w:name w:val="Document Map"/>
    <w:basedOn w:val="1"/>
    <w:link w:val="34"/>
    <w:semiHidden/>
    <w:unhideWhenUsed/>
    <w:qFormat/>
    <w:uiPriority w:val="99"/>
    <w:pPr>
      <w:spacing w:line="240" w:lineRule="auto"/>
    </w:pPr>
    <w:rPr>
      <w:rFonts w:ascii="Tahoma" w:hAnsi="Tahoma" w:cs="Tahoma"/>
      <w:sz w:val="16"/>
      <w:szCs w:val="16"/>
    </w:rPr>
  </w:style>
  <w:style w:type="character" w:styleId="14">
    <w:name w:val="Emphasis"/>
    <w:basedOn w:val="7"/>
    <w:qFormat/>
    <w:uiPriority w:val="20"/>
    <w:rPr>
      <w:i/>
      <w:iCs/>
    </w:rPr>
  </w:style>
  <w:style w:type="paragraph" w:styleId="15">
    <w:name w:val="footer"/>
    <w:basedOn w:val="1"/>
    <w:link w:val="31"/>
    <w:unhideWhenUsed/>
    <w:qFormat/>
    <w:uiPriority w:val="99"/>
    <w:pPr>
      <w:tabs>
        <w:tab w:val="center" w:pos="4680"/>
        <w:tab w:val="right" w:pos="9360"/>
      </w:tabs>
      <w:spacing w:line="240" w:lineRule="auto"/>
    </w:pPr>
  </w:style>
  <w:style w:type="paragraph" w:styleId="16">
    <w:name w:val="header"/>
    <w:basedOn w:val="1"/>
    <w:link w:val="30"/>
    <w:unhideWhenUsed/>
    <w:qFormat/>
    <w:uiPriority w:val="99"/>
    <w:pPr>
      <w:tabs>
        <w:tab w:val="center" w:pos="4680"/>
        <w:tab w:val="right" w:pos="9360"/>
      </w:tabs>
      <w:spacing w:line="240" w:lineRule="auto"/>
    </w:pPr>
  </w:style>
  <w:style w:type="character" w:styleId="17">
    <w:name w:val="Hyperlink"/>
    <w:basedOn w:val="7"/>
    <w:unhideWhenUsed/>
    <w:qFormat/>
    <w:uiPriority w:val="99"/>
    <w:rPr>
      <w:color w:val="0000FF" w:themeColor="hyperlink"/>
      <w:u w:val="single"/>
      <w14:textFill>
        <w14:solidFill>
          <w14:schemeClr w14:val="hlink"/>
        </w14:solidFill>
      </w14:textFill>
    </w:rPr>
  </w:style>
  <w:style w:type="paragraph" w:styleId="18">
    <w:name w:val="Normal (Web)"/>
    <w:basedOn w:val="1"/>
    <w:unhideWhenUsed/>
    <w:qFormat/>
    <w:uiPriority w:val="99"/>
    <w:pPr>
      <w:spacing w:before="100" w:beforeAutospacing="1" w:after="100" w:afterAutospacing="1" w:line="240" w:lineRule="auto"/>
      <w:jc w:val="left"/>
    </w:pPr>
    <w:rPr>
      <w:rFonts w:eastAsia="Times New Roman" w:cs="Times New Roman"/>
      <w:szCs w:val="24"/>
    </w:rPr>
  </w:style>
  <w:style w:type="table" w:styleId="19">
    <w:name w:val="Table Grid"/>
    <w:basedOn w:val="8"/>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0">
    <w:name w:val="table of figures"/>
    <w:basedOn w:val="1"/>
    <w:next w:val="1"/>
    <w:unhideWhenUsed/>
    <w:qFormat/>
    <w:uiPriority w:val="99"/>
  </w:style>
  <w:style w:type="table" w:styleId="21">
    <w:name w:val="Table Theme"/>
    <w:basedOn w:val="8"/>
    <w:semiHidden/>
    <w:unhideWhenUsed/>
    <w:qFormat/>
    <w:uiPriority w:val="99"/>
    <w:pPr>
      <w:spacing w:after="0" w:line="360" w:lineRule="auto"/>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2">
    <w:name w:val="toc 1"/>
    <w:basedOn w:val="1"/>
    <w:next w:val="1"/>
    <w:autoRedefine/>
    <w:unhideWhenUsed/>
    <w:qFormat/>
    <w:uiPriority w:val="39"/>
    <w:pPr>
      <w:tabs>
        <w:tab w:val="right" w:leader="dot" w:pos="9111"/>
      </w:tabs>
      <w:ind w:right="-432"/>
    </w:pPr>
    <w:rPr>
      <w:b/>
    </w:rPr>
  </w:style>
  <w:style w:type="paragraph" w:styleId="23">
    <w:name w:val="toc 2"/>
    <w:basedOn w:val="1"/>
    <w:next w:val="1"/>
    <w:autoRedefine/>
    <w:unhideWhenUsed/>
    <w:qFormat/>
    <w:uiPriority w:val="39"/>
    <w:pPr>
      <w:tabs>
        <w:tab w:val="right" w:leader="dot" w:pos="9072"/>
      </w:tabs>
      <w:ind w:left="240"/>
      <w:jc w:val="left"/>
    </w:pPr>
    <w:rPr>
      <w:b/>
    </w:rPr>
  </w:style>
  <w:style w:type="paragraph" w:styleId="24">
    <w:name w:val="toc 3"/>
    <w:basedOn w:val="1"/>
    <w:next w:val="1"/>
    <w:autoRedefine/>
    <w:unhideWhenUsed/>
    <w:qFormat/>
    <w:uiPriority w:val="39"/>
    <w:pPr>
      <w:tabs>
        <w:tab w:val="right" w:leader="dot" w:pos="9072"/>
      </w:tabs>
      <w:ind w:left="480" w:right="-432"/>
    </w:pPr>
    <w:rPr>
      <w:i/>
    </w:rPr>
  </w:style>
  <w:style w:type="character" w:customStyle="1" w:styleId="25">
    <w:name w:val="Heading 1 Char"/>
    <w:basedOn w:val="7"/>
    <w:link w:val="2"/>
    <w:qFormat/>
    <w:uiPriority w:val="9"/>
    <w:rPr>
      <w:rFonts w:ascii="Times New Roman" w:hAnsi="Times New Roman" w:cs="Times New Roman" w:eastAsiaTheme="majorEastAsia"/>
      <w:b/>
      <w:bCs/>
      <w:sz w:val="24"/>
      <w:szCs w:val="28"/>
    </w:rPr>
  </w:style>
  <w:style w:type="character" w:customStyle="1" w:styleId="26">
    <w:name w:val="Heading 2 Char"/>
    <w:basedOn w:val="7"/>
    <w:link w:val="3"/>
    <w:qFormat/>
    <w:uiPriority w:val="9"/>
    <w:rPr>
      <w:rFonts w:ascii="Times New Roman" w:hAnsi="Times New Roman"/>
      <w:b/>
      <w:bCs/>
      <w:sz w:val="24"/>
      <w:szCs w:val="32"/>
    </w:rPr>
  </w:style>
  <w:style w:type="character" w:customStyle="1" w:styleId="27">
    <w:name w:val="Heading 3 Char"/>
    <w:basedOn w:val="7"/>
    <w:link w:val="4"/>
    <w:qFormat/>
    <w:uiPriority w:val="9"/>
    <w:rPr>
      <w:rFonts w:ascii="Times New Roman" w:hAnsi="Times New Roman"/>
      <w:bCs/>
      <w:i/>
      <w:sz w:val="24"/>
      <w:szCs w:val="32"/>
    </w:rPr>
  </w:style>
  <w:style w:type="character" w:customStyle="1" w:styleId="28">
    <w:name w:val="Heading 4 Char"/>
    <w:basedOn w:val="7"/>
    <w:link w:val="5"/>
    <w:qFormat/>
    <w:uiPriority w:val="9"/>
    <w:rPr>
      <w:rFonts w:eastAsiaTheme="majorEastAsia" w:cstheme="majorBidi"/>
      <w:iCs/>
      <w:sz w:val="24"/>
      <w:szCs w:val="22"/>
    </w:rPr>
  </w:style>
  <w:style w:type="character" w:customStyle="1" w:styleId="29">
    <w:name w:val="Heading 5 Char"/>
    <w:basedOn w:val="7"/>
    <w:link w:val="6"/>
    <w:semiHidden/>
    <w:qFormat/>
    <w:uiPriority w:val="9"/>
    <w:rPr>
      <w:rFonts w:asciiTheme="majorHAnsi" w:hAnsiTheme="majorHAnsi" w:eastAsiaTheme="majorEastAsia" w:cstheme="majorBidi"/>
      <w:color w:val="254061" w:themeColor="accent1" w:themeShade="80"/>
      <w:sz w:val="24"/>
    </w:rPr>
  </w:style>
  <w:style w:type="character" w:customStyle="1" w:styleId="30">
    <w:name w:val="Header Char"/>
    <w:basedOn w:val="7"/>
    <w:link w:val="16"/>
    <w:qFormat/>
    <w:uiPriority w:val="99"/>
    <w:rPr>
      <w:rFonts w:ascii="Times New Roman" w:hAnsi="Times New Roman"/>
      <w:sz w:val="24"/>
    </w:rPr>
  </w:style>
  <w:style w:type="character" w:customStyle="1" w:styleId="31">
    <w:name w:val="Footer Char"/>
    <w:basedOn w:val="7"/>
    <w:link w:val="15"/>
    <w:qFormat/>
    <w:uiPriority w:val="99"/>
    <w:rPr>
      <w:rFonts w:ascii="Times New Roman" w:hAnsi="Times New Roman"/>
      <w:sz w:val="24"/>
    </w:rPr>
  </w:style>
  <w:style w:type="character" w:customStyle="1" w:styleId="32">
    <w:name w:val="Balloon Text Char"/>
    <w:basedOn w:val="7"/>
    <w:link w:val="9"/>
    <w:semiHidden/>
    <w:qFormat/>
    <w:uiPriority w:val="99"/>
    <w:rPr>
      <w:rFonts w:ascii="Tahoma" w:hAnsi="Tahoma" w:cs="Tahoma"/>
      <w:sz w:val="16"/>
      <w:szCs w:val="16"/>
    </w:rPr>
  </w:style>
  <w:style w:type="paragraph" w:styleId="33">
    <w:name w:val="List Paragraph"/>
    <w:basedOn w:val="1"/>
    <w:qFormat/>
    <w:uiPriority w:val="1"/>
    <w:pPr>
      <w:ind w:left="720"/>
      <w:contextualSpacing/>
    </w:pPr>
  </w:style>
  <w:style w:type="character" w:customStyle="1" w:styleId="34">
    <w:name w:val="Document Map Char"/>
    <w:basedOn w:val="7"/>
    <w:link w:val="13"/>
    <w:semiHidden/>
    <w:qFormat/>
    <w:uiPriority w:val="99"/>
    <w:rPr>
      <w:rFonts w:ascii="Tahoma" w:hAnsi="Tahoma" w:cs="Tahoma"/>
      <w:sz w:val="16"/>
      <w:szCs w:val="16"/>
    </w:rPr>
  </w:style>
  <w:style w:type="paragraph" w:customStyle="1" w:styleId="35">
    <w:name w:val="TOC Heading"/>
    <w:basedOn w:val="2"/>
    <w:next w:val="1"/>
    <w:unhideWhenUsed/>
    <w:qFormat/>
    <w:uiPriority w:val="39"/>
    <w:pPr>
      <w:spacing w:before="480" w:line="276" w:lineRule="auto"/>
      <w:jc w:val="left"/>
      <w:outlineLvl w:val="9"/>
    </w:pPr>
    <w:rPr>
      <w:rFonts w:asciiTheme="majorHAnsi" w:hAnsiTheme="majorHAnsi" w:cstheme="majorBidi"/>
      <w:color w:val="376092" w:themeColor="accent1" w:themeShade="BF"/>
      <w:sz w:val="28"/>
    </w:rPr>
  </w:style>
  <w:style w:type="character" w:customStyle="1" w:styleId="36">
    <w:name w:val="Comment Text Char"/>
    <w:basedOn w:val="7"/>
    <w:link w:val="11"/>
    <w:semiHidden/>
    <w:qFormat/>
    <w:uiPriority w:val="99"/>
    <w:rPr>
      <w:rFonts w:ascii="Times New Roman" w:hAnsi="Times New Roman"/>
      <w:sz w:val="20"/>
      <w:szCs w:val="20"/>
    </w:rPr>
  </w:style>
  <w:style w:type="character" w:customStyle="1" w:styleId="37">
    <w:name w:val="Comment Subject Char"/>
    <w:basedOn w:val="36"/>
    <w:link w:val="12"/>
    <w:semiHidden/>
    <w:qFormat/>
    <w:uiPriority w:val="99"/>
    <w:rPr>
      <w:b/>
      <w:bCs/>
    </w:rPr>
  </w:style>
  <w:style w:type="character" w:customStyle="1" w:styleId="38">
    <w:name w:val="elsevierstylesection"/>
    <w:basedOn w:val="7"/>
    <w:qFormat/>
    <w:uiPriority w:val="0"/>
  </w:style>
  <w:style w:type="character" w:customStyle="1" w:styleId="39">
    <w:name w:val="elsevierstylesup"/>
    <w:basedOn w:val="7"/>
    <w:qFormat/>
    <w:uiPriority w:val="0"/>
  </w:style>
  <w:style w:type="character" w:customStyle="1" w:styleId="40">
    <w:name w:val="elsevierstyleinf"/>
    <w:basedOn w:val="7"/>
    <w:qFormat/>
    <w:uiPriority w:val="0"/>
  </w:style>
  <w:style w:type="character" w:customStyle="1" w:styleId="41">
    <w:name w:val="elsevierstylesectiontitle"/>
    <w:basedOn w:val="7"/>
    <w:qFormat/>
    <w:uiPriority w:val="0"/>
  </w:style>
  <w:style w:type="paragraph" w:customStyle="1" w:styleId="42">
    <w:name w:val="elsevierstylepara"/>
    <w:basedOn w:val="1"/>
    <w:qFormat/>
    <w:uiPriority w:val="0"/>
    <w:pPr>
      <w:spacing w:before="100" w:beforeAutospacing="1" w:after="100" w:afterAutospacing="1" w:line="240" w:lineRule="auto"/>
      <w:jc w:val="left"/>
    </w:pPr>
    <w:rPr>
      <w:rFonts w:eastAsia="Times New Roman" w:cs="Times New Roman"/>
      <w:szCs w:val="24"/>
    </w:rPr>
  </w:style>
  <w:style w:type="character" w:customStyle="1" w:styleId="43">
    <w:name w:val="elsevierstyleitalic"/>
    <w:basedOn w:val="7"/>
    <w:qFormat/>
    <w:uiPriority w:val="0"/>
  </w:style>
  <w:style w:type="paragraph" w:styleId="44">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table" w:customStyle="1" w:styleId="45">
    <w:name w:val="Style1"/>
    <w:basedOn w:val="21"/>
    <w:qFormat/>
    <w:uiPriority w:val="99"/>
    <w:pPr>
      <w:spacing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46">
    <w:name w:val="css-1eh0vfs"/>
    <w:basedOn w:val="7"/>
    <w:qFormat/>
    <w:uiPriority w:val="0"/>
  </w:style>
  <w:style w:type="character" w:customStyle="1" w:styleId="47">
    <w:name w:val="css-rh820s"/>
    <w:basedOn w:val="7"/>
    <w:qFormat/>
    <w:uiPriority w:val="0"/>
  </w:style>
  <w:style w:type="character" w:customStyle="1" w:styleId="48">
    <w:name w:val="css-0"/>
    <w:basedOn w:val="7"/>
    <w:qFormat/>
    <w:uiPriority w:val="0"/>
  </w:style>
  <w:style w:type="character" w:customStyle="1" w:styleId="49">
    <w:name w:val="article-header__pages"/>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hart" Target="charts/chart1.xml"/><Relationship Id="rId10" Type="http://schemas.openxmlformats.org/officeDocument/2006/relationships/image" Target="media/image2.png"/><Relationship Id="rId1" Type="http://schemas.openxmlformats.org/officeDocument/2006/relationships/styles" Target="styles.xml"/></Relationships>
</file>

<file path=word/_rels/numbering.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Sheet1!$B$1</c:f>
              <c:strCache>
                <c:ptCount val="1"/>
                <c:pt idx="0">
                  <c:v>Mean HI</c:v>
                </c:pt>
              </c:strCache>
            </c:strRef>
          </c:tx>
          <c:invertIfNegative val="0"/>
          <c:dLbls>
            <c:delete val="1"/>
          </c:dLbls>
          <c:cat>
            <c:strRef>
              <c:f>Sheet1!$A$2:$A$10</c:f>
              <c:strCache>
                <c:ptCount val="9"/>
                <c:pt idx="0">
                  <c:v>G1</c:v>
                </c:pt>
                <c:pt idx="1">
                  <c:v>G2</c:v>
                </c:pt>
                <c:pt idx="2">
                  <c:v>G3</c:v>
                </c:pt>
                <c:pt idx="3">
                  <c:v>G4</c:v>
                </c:pt>
                <c:pt idx="4">
                  <c:v>G5</c:v>
                </c:pt>
                <c:pt idx="5">
                  <c:v>G6</c:v>
                </c:pt>
                <c:pt idx="6">
                  <c:v>G7</c:v>
                </c:pt>
                <c:pt idx="7">
                  <c:v>G8</c:v>
                </c:pt>
                <c:pt idx="8">
                  <c:v>G9</c:v>
                </c:pt>
              </c:strCache>
            </c:strRef>
          </c:cat>
          <c:val>
            <c:numRef>
              <c:f>Sheet1!$B$2:$B$10</c:f>
              <c:numCache>
                <c:formatCode>General</c:formatCode>
                <c:ptCount val="9"/>
                <c:pt idx="0">
                  <c:v>104.6</c:v>
                </c:pt>
                <c:pt idx="1">
                  <c:v>113.45</c:v>
                </c:pt>
                <c:pt idx="2">
                  <c:v>91.09</c:v>
                </c:pt>
                <c:pt idx="3">
                  <c:v>112.84</c:v>
                </c:pt>
                <c:pt idx="4">
                  <c:v>112.84</c:v>
                </c:pt>
                <c:pt idx="5">
                  <c:v>115.125</c:v>
                </c:pt>
                <c:pt idx="6">
                  <c:v>32.667</c:v>
                </c:pt>
                <c:pt idx="7">
                  <c:v>32.667</c:v>
                </c:pt>
                <c:pt idx="8">
                  <c:v>26.72</c:v>
                </c:pt>
              </c:numCache>
            </c:numRef>
          </c:val>
        </c:ser>
        <c:dLbls>
          <c:showLegendKey val="0"/>
          <c:showVal val="0"/>
          <c:showCatName val="0"/>
          <c:showSerName val="0"/>
          <c:showPercent val="0"/>
          <c:showBubbleSize val="0"/>
        </c:dLbls>
        <c:gapWidth val="75"/>
        <c:axId val="131963904"/>
        <c:axId val="131971712"/>
      </c:barChart>
      <c:catAx>
        <c:axId val="131963904"/>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Groups</a:t>
                </a:r>
                <a:endParaRPr lang="en-US" sz="1200">
                  <a:latin typeface="Times New Roman" panose="02020603050405020304" charset="0"/>
                  <a:cs typeface="Times New Roman" panose="02020603050405020304" charset="0"/>
                </a:endParaRPr>
              </a:p>
            </c:rich>
          </c:tx>
          <c:layout>
            <c:manualLayout>
              <c:xMode val="edge"/>
              <c:yMode val="edge"/>
              <c:x val="0.373844895894041"/>
              <c:y val="0.847783737177783"/>
            </c:manualLayout>
          </c:layout>
          <c:overlay val="0"/>
        </c:title>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Times New Roman" panose="02020603050405020304" charset="0"/>
                <a:ea typeface="+mn-ea"/>
                <a:cs typeface="Times New Roman" panose="02020603050405020304" charset="0"/>
              </a:defRPr>
            </a:pPr>
          </a:p>
        </c:txPr>
        <c:crossAx val="131971712"/>
        <c:crosses val="autoZero"/>
        <c:auto val="1"/>
        <c:lblAlgn val="ctr"/>
        <c:lblOffset val="100"/>
        <c:noMultiLvlLbl val="0"/>
      </c:catAx>
      <c:valAx>
        <c:axId val="131971712"/>
        <c:scaling>
          <c:orientation val="minMax"/>
        </c:scaling>
        <c:delete val="0"/>
        <c:axPos val="l"/>
        <c:title>
          <c:tx>
            <c:rich>
              <a:bodyPr rot="0" spcFirstLastPara="0" vertOverflow="ellipsis" vert="wordArtVert" wrap="square" anchor="ctr" anchorCtr="1"/>
              <a:lstStyle/>
              <a:p>
                <a:pPr>
                  <a:defRPr lang="en-US" sz="10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Me</a:t>
                </a:r>
                <a:r>
                  <a:rPr lang="en-US" sz="1200" baseline="0">
                    <a:latin typeface="Times New Roman" panose="02020603050405020304" charset="0"/>
                    <a:cs typeface="Times New Roman" panose="02020603050405020304" charset="0"/>
                  </a:rPr>
                  <a:t>an Ab</a:t>
                </a:r>
                <a:endParaRPr lang="en-US"/>
              </a:p>
            </c:rich>
          </c:tx>
          <c:layout>
            <c:manualLayout>
              <c:xMode val="edge"/>
              <c:yMode val="edge"/>
              <c:x val="0"/>
              <c:y val="0.279327982552908"/>
            </c:manualLayout>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Times New Roman" panose="02020603050405020304" charset="0"/>
                <a:ea typeface="+mn-ea"/>
                <a:cs typeface="Times New Roman" panose="02020603050405020304" charset="0"/>
              </a:defRPr>
            </a:pPr>
          </a:p>
        </c:txPr>
        <c:crossAx val="131963904"/>
        <c:crosses val="autoZero"/>
        <c:crossBetween val="between"/>
      </c:valAx>
      <c:spPr>
        <a:noFill/>
        <a:ln w="25400">
          <a:noFill/>
        </a:ln>
      </c:spPr>
    </c:plotArea>
    <c:legend>
      <c:legendPos val="b"/>
      <c:layout>
        <c:manualLayout>
          <c:xMode val="edge"/>
          <c:yMode val="edge"/>
          <c:x val="0.652980606339879"/>
          <c:y val="0.921677085446287"/>
          <c:w val="0.194325468352601"/>
          <c:h val="0.0595875515560555"/>
        </c:manualLayout>
      </c:layout>
      <c:overlay val="0"/>
      <c:txPr>
        <a:bodyPr rot="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p>
      </c:txPr>
    </c:legend>
    <c:plotVisOnly val="1"/>
    <c:dispBlanksAs val="gap"/>
    <c:showDLblsOverMax val="0"/>
    <c:extLst>
      <c:ext uri="{0b15fc19-7d7d-44ad-8c2d-2c3a37ce22c3}">
        <chartProps xmlns="https://web.wps.cn/et/2018/main" chartId="{f2cd01a6-0421-4ee3-8be4-91c84de048b7}"/>
      </c:ext>
    </c:extLst>
  </c:chart>
  <c:txPr>
    <a:bodyPr/>
    <a:lstStyle/>
    <a:p>
      <a:pPr>
        <a:defRPr lang="en-US"/>
      </a:pPr>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0.14478</cdr:x>
      <cdr:y>0.15196</cdr:y>
    </cdr:from>
    <cdr:to>
      <cdr:x>0.21292</cdr:x>
      <cdr:y>0.20343</cdr:y>
    </cdr:to>
    <cdr:sp>
      <cdr:nvSpPr>
        <cdr:cNvPr id="2" name="Rectangle 1"/>
        <cdr:cNvSpPr/>
      </cdr:nvSpPr>
      <cdr:spPr xmlns:a="http://schemas.openxmlformats.org/drawingml/2006/main">
        <a:xfrm xmlns:a="http://schemas.openxmlformats.org/drawingml/2006/main">
          <a:off x="801081" y="584462"/>
          <a:ext cx="377073" cy="197961"/>
        </a:xfrm>
        <a:prstGeom xmlns:a="http://schemas.openxmlformats.org/drawingml/2006/main" prst="rect">
          <a:avLst/>
        </a:prstGeom>
        <a:solidFill>
          <a:schemeClr val="bg2"/>
        </a:solidFill>
        <a:l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xmlns:a="http://schemas.openxmlformats.org/drawingml/2006/main">
        <a:bodyPr vertOverflow="clip" vert="horz" wrap="none" lIns="45720" tIns="45720" rIns="45720" bIns="45720" anchor="t" anchorCtr="0">
          <a:normAutofit/>
        </a:bodyPr>
        <a:lstStyle/>
        <a:p>
          <a:r>
            <a:rPr lang="en-US" sz="1000">
              <a:solidFill>
                <a:schemeClr val="tx1"/>
              </a:solidFill>
              <a:latin typeface="Times New Roman" panose="02020603050405020304" charset="0"/>
              <a:cs typeface="Times New Roman" panose="02020603050405020304" charset="0"/>
            </a:rPr>
            <a:t>104</a:t>
          </a:r>
          <a:r>
            <a:rPr lang="en-US" sz="1000">
              <a:solidFill>
                <a:schemeClr val="tx1"/>
              </a:solidFill>
            </a:rPr>
            <a:t>.6</a:t>
          </a:r>
          <a:r>
            <a:rPr lang="en-US"/>
            <a:t>.</a:t>
          </a:r>
          <a:endParaRPr lang="en-US"/>
        </a:p>
      </cdr:txBody>
    </cdr:sp>
  </cdr:relSizeAnchor>
  <cdr:relSizeAnchor xmlns:cdr="http://schemas.openxmlformats.org/drawingml/2006/chartDrawing">
    <cdr:from>
      <cdr:x>0.23507</cdr:x>
      <cdr:y>0.11274</cdr:y>
    </cdr:from>
    <cdr:to>
      <cdr:x>0.30833</cdr:x>
      <cdr:y>0.16667</cdr:y>
    </cdr:to>
    <cdr:sp>
      <cdr:nvSpPr>
        <cdr:cNvPr id="3" name="Flowchart: Process 2"/>
        <cdr:cNvSpPr/>
      </cdr:nvSpPr>
      <cdr:spPr xmlns:a="http://schemas.openxmlformats.org/drawingml/2006/main">
        <a:xfrm xmlns:a="http://schemas.openxmlformats.org/drawingml/2006/main">
          <a:off x="1300702" y="433632"/>
          <a:ext cx="405354" cy="207389"/>
        </a:xfrm>
        <a:prstGeom xmlns:a="http://schemas.openxmlformats.org/drawingml/2006/main" prst="flowChartProcess">
          <a:avLst/>
        </a:prstGeom>
        <a:solidFill>
          <a:schemeClr val="bg2"/>
        </a:solidFill>
        <a:l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xmlns:a="http://schemas.openxmlformats.org/drawingml/2006/main">
        <a:bodyPr vertOverflow="clip" vert="horz" wrap="none" lIns="45720" tIns="45720" rIns="45720" bIns="45720" anchor="t" anchorCtr="0">
          <a:normAutofit/>
        </a:bodyPr>
        <a:lstStyle/>
        <a:p>
          <a:r>
            <a:rPr lang="en-US" sz="1000" b="0">
              <a:solidFill>
                <a:sysClr val="windowText" lastClr="000000"/>
              </a:solidFill>
              <a:latin typeface="Times New Roman" panose="02020603050405020304" charset="0"/>
              <a:cs typeface="Times New Roman" panose="02020603050405020304" charset="0"/>
            </a:rPr>
            <a:t>113</a:t>
          </a:r>
          <a:endParaRPr lang="en-US" sz="1000" b="0">
            <a:solidFill>
              <a:sysClr val="windowText" lastClr="000000"/>
            </a:solidFill>
            <a:latin typeface="Times New Roman" panose="02020603050405020304" charset="0"/>
            <a:cs typeface="Times New Roman" panose="02020603050405020304" charset="0"/>
          </a:endParaRPr>
        </a:p>
      </cdr:txBody>
    </cdr:sp>
  </cdr:relSizeAnchor>
  <cdr:relSizeAnchor xmlns:cdr="http://schemas.openxmlformats.org/drawingml/2006/chartDrawing">
    <cdr:from>
      <cdr:x>0.42418</cdr:x>
      <cdr:y>0.12255</cdr:y>
    </cdr:from>
    <cdr:to>
      <cdr:x>0.49573</cdr:x>
      <cdr:y>0.17647</cdr:y>
    </cdr:to>
    <cdr:sp>
      <cdr:nvSpPr>
        <cdr:cNvPr id="4" name="Rectangle 3"/>
        <cdr:cNvSpPr/>
      </cdr:nvSpPr>
      <cdr:spPr xmlns:a="http://schemas.openxmlformats.org/drawingml/2006/main">
        <a:xfrm xmlns:a="http://schemas.openxmlformats.org/drawingml/2006/main">
          <a:off x="2347077" y="471339"/>
          <a:ext cx="395927" cy="207388"/>
        </a:xfrm>
        <a:prstGeom xmlns:a="http://schemas.openxmlformats.org/drawingml/2006/main" prst="rect">
          <a:avLst/>
        </a:prstGeom>
        <a:solidFill>
          <a:schemeClr val="bg2"/>
        </a:solidFill>
        <a:l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xmlns:a="http://schemas.openxmlformats.org/drawingml/2006/main">
        <a:bodyPr vertOverflow="clip" vert="horz" wrap="none" lIns="45720" tIns="45720" rIns="45720" bIns="45720" anchor="t" anchorCtr="0">
          <a:normAutofit/>
        </a:bodyPr>
        <a:lstStyle/>
        <a:p>
          <a:r>
            <a:rPr lang="en-US" sz="1000">
              <a:solidFill>
                <a:sysClr val="windowText" lastClr="000000"/>
              </a:solidFill>
              <a:latin typeface="Times New Roman" panose="02020603050405020304" charset="0"/>
              <a:cs typeface="Times New Roman" panose="02020603050405020304" charset="0"/>
            </a:rPr>
            <a:t>113</a:t>
          </a:r>
          <a:endParaRPr lang="en-US" sz="1000">
            <a:solidFill>
              <a:sysClr val="windowText" lastClr="000000"/>
            </a:solidFill>
            <a:latin typeface="Times New Roman" panose="02020603050405020304" charset="0"/>
            <a:cs typeface="Times New Roman" panose="02020603050405020304" charset="0"/>
          </a:endParaRPr>
        </a:p>
      </cdr:txBody>
    </cdr:sp>
  </cdr:relSizeAnchor>
  <cdr:relSizeAnchor xmlns:cdr="http://schemas.openxmlformats.org/drawingml/2006/chartDrawing">
    <cdr:from>
      <cdr:x>0.33218</cdr:x>
      <cdr:y>0.23284</cdr:y>
    </cdr:from>
    <cdr:to>
      <cdr:x>0.39692</cdr:x>
      <cdr:y>0.27941</cdr:y>
    </cdr:to>
    <cdr:sp>
      <cdr:nvSpPr>
        <cdr:cNvPr id="5" name="Rectangle 4"/>
        <cdr:cNvSpPr/>
      </cdr:nvSpPr>
      <cdr:spPr xmlns:a="http://schemas.openxmlformats.org/drawingml/2006/main">
        <a:xfrm xmlns:a="http://schemas.openxmlformats.org/drawingml/2006/main">
          <a:off x="1838030" y="895546"/>
          <a:ext cx="358219" cy="179108"/>
        </a:xfrm>
        <a:prstGeom xmlns:a="http://schemas.openxmlformats.org/drawingml/2006/main" prst="rect">
          <a:avLst/>
        </a:prstGeom>
        <a:solidFill>
          <a:schemeClr val="bg2"/>
        </a:solidFill>
        <a:l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xmlns:a="http://schemas.openxmlformats.org/drawingml/2006/main">
        <a:bodyPr vertOverflow="clip" vert="horz" wrap="none" lIns="45720" tIns="45720" rIns="45720" bIns="45720" anchor="t" anchorCtr="0">
          <a:normAutofit/>
        </a:bodyPr>
        <a:lstStyle/>
        <a:p>
          <a:r>
            <a:rPr lang="en-US" sz="1000">
              <a:solidFill>
                <a:sysClr val="windowText" lastClr="000000"/>
              </a:solidFill>
              <a:latin typeface="Times New Roman" panose="02020603050405020304" charset="0"/>
              <a:cs typeface="Times New Roman" panose="02020603050405020304" charset="0"/>
            </a:rPr>
            <a:t>91</a:t>
          </a:r>
          <a:endParaRPr lang="en-US" sz="1000">
            <a:solidFill>
              <a:sysClr val="windowText" lastClr="000000"/>
            </a:solidFill>
            <a:latin typeface="Times New Roman" panose="02020603050405020304" charset="0"/>
            <a:cs typeface="Times New Roman" panose="02020603050405020304" charset="0"/>
          </a:endParaRPr>
        </a:p>
      </cdr:txBody>
    </cdr:sp>
  </cdr:relSizeAnchor>
  <cdr:relSizeAnchor xmlns:cdr="http://schemas.openxmlformats.org/drawingml/2006/chartDrawing">
    <cdr:from>
      <cdr:x>0.51618</cdr:x>
      <cdr:y>0.10049</cdr:y>
    </cdr:from>
    <cdr:to>
      <cdr:x>0.58773</cdr:x>
      <cdr:y>0.16422</cdr:y>
    </cdr:to>
    <cdr:sp>
      <cdr:nvSpPr>
        <cdr:cNvPr id="6" name="Rectangle 5"/>
        <cdr:cNvSpPr/>
      </cdr:nvSpPr>
      <cdr:spPr xmlns:a="http://schemas.openxmlformats.org/drawingml/2006/main">
        <a:xfrm xmlns:a="http://schemas.openxmlformats.org/drawingml/2006/main">
          <a:off x="2856148" y="386499"/>
          <a:ext cx="395903" cy="245113"/>
        </a:xfrm>
        <a:prstGeom xmlns:a="http://schemas.openxmlformats.org/drawingml/2006/main" prst="rect">
          <a:avLst/>
        </a:prstGeom>
        <a:solidFill>
          <a:schemeClr val="bg2"/>
        </a:solidFill>
        <a:l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xmlns:a="http://schemas.openxmlformats.org/drawingml/2006/main">
        <a:bodyPr vertOverflow="clip" vert="horz" wrap="none" lIns="45720" tIns="45720" rIns="45720" bIns="45720" anchor="t" anchorCtr="0">
          <a:normAutofit/>
        </a:bodyPr>
        <a:lstStyle/>
        <a:p>
          <a:r>
            <a:rPr lang="en-US" sz="1000">
              <a:solidFill>
                <a:sysClr val="windowText" lastClr="000000"/>
              </a:solidFill>
              <a:latin typeface="Times New Roman" panose="02020603050405020304" charset="0"/>
              <a:cs typeface="Times New Roman" panose="02020603050405020304" charset="0"/>
            </a:rPr>
            <a:t>113</a:t>
          </a:r>
          <a:endParaRPr lang="en-US" sz="1000">
            <a:solidFill>
              <a:sysClr val="windowText" lastClr="000000"/>
            </a:solidFill>
            <a:latin typeface="Times New Roman" panose="02020603050405020304" charset="0"/>
            <a:cs typeface="Times New Roman" panose="02020603050405020304" charset="0"/>
          </a:endParaRPr>
        </a:p>
      </cdr:txBody>
    </cdr:sp>
  </cdr:relSizeAnchor>
  <cdr:relSizeAnchor xmlns:cdr="http://schemas.openxmlformats.org/drawingml/2006/chartDrawing">
    <cdr:from>
      <cdr:x>0.61158</cdr:x>
      <cdr:y>0.09804</cdr:y>
    </cdr:from>
    <cdr:to>
      <cdr:x>0.68314</cdr:x>
      <cdr:y>0.15441</cdr:y>
    </cdr:to>
    <cdr:sp>
      <cdr:nvSpPr>
        <cdr:cNvPr id="7" name="Rectangle 6"/>
        <cdr:cNvSpPr/>
      </cdr:nvSpPr>
      <cdr:spPr xmlns:a="http://schemas.openxmlformats.org/drawingml/2006/main">
        <a:xfrm xmlns:a="http://schemas.openxmlformats.org/drawingml/2006/main">
          <a:off x="3384029" y="377072"/>
          <a:ext cx="395924" cy="216815"/>
        </a:xfrm>
        <a:prstGeom xmlns:a="http://schemas.openxmlformats.org/drawingml/2006/main" prst="rect">
          <a:avLst/>
        </a:prstGeom>
        <a:solidFill>
          <a:schemeClr val="bg2"/>
        </a:solidFill>
        <a:l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xmlns:a="http://schemas.openxmlformats.org/drawingml/2006/main">
        <a:bodyPr vertOverflow="clip" vert="horz" wrap="none" lIns="45720" tIns="45720" rIns="45720" bIns="45720" anchor="t" anchorCtr="0">
          <a:normAutofit/>
        </a:bodyPr>
        <a:lstStyle/>
        <a:p>
          <a:r>
            <a:rPr lang="en-US" sz="1000">
              <a:solidFill>
                <a:sysClr val="windowText" lastClr="000000"/>
              </a:solidFill>
              <a:latin typeface="Times New Roman" panose="02020603050405020304" charset="0"/>
              <a:cs typeface="Times New Roman" panose="02020603050405020304" charset="0"/>
            </a:rPr>
            <a:t>115</a:t>
          </a:r>
          <a:endParaRPr lang="en-US" sz="1000">
            <a:solidFill>
              <a:sysClr val="windowText" lastClr="000000"/>
            </a:solidFill>
            <a:latin typeface="Times New Roman" panose="02020603050405020304" charset="0"/>
            <a:cs typeface="Times New Roman" panose="02020603050405020304" charset="0"/>
          </a:endParaRPr>
        </a:p>
      </cdr:txBody>
    </cdr:sp>
  </cdr:relSizeAnchor>
  <cdr:relSizeAnchor xmlns:cdr="http://schemas.openxmlformats.org/drawingml/2006/chartDrawing">
    <cdr:from>
      <cdr:x>0.70528</cdr:x>
      <cdr:y>0.52696</cdr:y>
    </cdr:from>
    <cdr:to>
      <cdr:x>0.76662</cdr:x>
      <cdr:y>0.58333</cdr:y>
    </cdr:to>
    <cdr:sp>
      <cdr:nvSpPr>
        <cdr:cNvPr id="8" name="Rectangle 7"/>
        <cdr:cNvSpPr/>
      </cdr:nvSpPr>
      <cdr:spPr xmlns:a="http://schemas.openxmlformats.org/drawingml/2006/main">
        <a:xfrm xmlns:a="http://schemas.openxmlformats.org/drawingml/2006/main">
          <a:off x="3902502" y="2026763"/>
          <a:ext cx="339364" cy="216816"/>
        </a:xfrm>
        <a:prstGeom xmlns:a="http://schemas.openxmlformats.org/drawingml/2006/main" prst="rect">
          <a:avLst/>
        </a:prstGeom>
        <a:solidFill>
          <a:schemeClr val="bg2"/>
        </a:solidFill>
        <a:l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xmlns:a="http://schemas.openxmlformats.org/drawingml/2006/main">
        <a:bodyPr vertOverflow="clip" vert="horz" wrap="none" lIns="45720" tIns="45720" rIns="45720" bIns="45720" anchor="t" anchorCtr="0">
          <a:normAutofit/>
        </a:bodyPr>
        <a:lstStyle/>
        <a:p>
          <a:r>
            <a:rPr lang="en-US" sz="1000">
              <a:solidFill>
                <a:sysClr val="windowText" lastClr="000000"/>
              </a:solidFill>
              <a:latin typeface="Times New Roman" panose="02020603050405020304" charset="0"/>
              <a:cs typeface="Times New Roman" panose="02020603050405020304" charset="0"/>
            </a:rPr>
            <a:t>32</a:t>
          </a:r>
          <a:endParaRPr lang="en-US" sz="1000">
            <a:solidFill>
              <a:sysClr val="windowText" lastClr="000000"/>
            </a:solidFill>
            <a:latin typeface="Times New Roman" panose="02020603050405020304" charset="0"/>
            <a:cs typeface="Times New Roman" panose="02020603050405020304" charset="0"/>
          </a:endParaRPr>
        </a:p>
      </cdr:txBody>
    </cdr:sp>
  </cdr:relSizeAnchor>
  <cdr:relSizeAnchor xmlns:cdr="http://schemas.openxmlformats.org/drawingml/2006/chartDrawing">
    <cdr:from>
      <cdr:x>0.89609</cdr:x>
      <cdr:y>0.54902</cdr:y>
    </cdr:from>
    <cdr:to>
      <cdr:x>0.96083</cdr:x>
      <cdr:y>0.61275</cdr:y>
    </cdr:to>
    <cdr:sp>
      <cdr:nvSpPr>
        <cdr:cNvPr id="9" name="Rectangle 8"/>
        <cdr:cNvSpPr/>
      </cdr:nvSpPr>
      <cdr:spPr xmlns:a="http://schemas.openxmlformats.org/drawingml/2006/main">
        <a:xfrm xmlns:a="http://schemas.openxmlformats.org/drawingml/2006/main">
          <a:off x="4958303" y="2111604"/>
          <a:ext cx="358219" cy="245097"/>
        </a:xfrm>
        <a:prstGeom xmlns:a="http://schemas.openxmlformats.org/drawingml/2006/main" prst="rect">
          <a:avLst/>
        </a:prstGeom>
        <a:solidFill>
          <a:schemeClr val="bg2"/>
        </a:solidFill>
        <a:l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xmlns:a="http://schemas.openxmlformats.org/drawingml/2006/main">
        <a:bodyPr vertOverflow="clip" vert="horz" wrap="none" lIns="45720" tIns="45720" rIns="45720" bIns="45720" anchor="t" anchorCtr="0">
          <a:normAutofit/>
        </a:bodyPr>
        <a:lstStyle/>
        <a:p>
          <a:r>
            <a:rPr lang="en-US" sz="1000">
              <a:solidFill>
                <a:sysClr val="windowText" lastClr="000000"/>
              </a:solidFill>
              <a:latin typeface="Times New Roman" panose="02020603050405020304" charset="0"/>
              <a:cs typeface="Times New Roman" panose="02020603050405020304" charset="0"/>
            </a:rPr>
            <a:t>26</a:t>
          </a:r>
          <a:endParaRPr lang="en-US" sz="1000">
            <a:solidFill>
              <a:sysClr val="windowText" lastClr="000000"/>
            </a:solidFill>
            <a:latin typeface="Times New Roman" panose="02020603050405020304" charset="0"/>
            <a:cs typeface="Times New Roman" panose="02020603050405020304" charset="0"/>
          </a:endParaRPr>
        </a:p>
      </cdr:txBody>
    </cdr:sp>
  </cdr:relSizeAnchor>
  <cdr:relSizeAnchor xmlns:cdr="http://schemas.openxmlformats.org/drawingml/2006/chartDrawing">
    <cdr:from>
      <cdr:x>0.79558</cdr:x>
      <cdr:y>0.53431</cdr:y>
    </cdr:from>
    <cdr:to>
      <cdr:x>0.86032</cdr:x>
      <cdr:y>0.59314</cdr:y>
    </cdr:to>
    <cdr:sp>
      <cdr:nvSpPr>
        <cdr:cNvPr id="10" name="Rectangle 9"/>
        <cdr:cNvSpPr/>
      </cdr:nvSpPr>
      <cdr:spPr xmlns:a="http://schemas.openxmlformats.org/drawingml/2006/main">
        <a:xfrm xmlns:a="http://schemas.openxmlformats.org/drawingml/2006/main">
          <a:off x="4402122" y="2055043"/>
          <a:ext cx="358220" cy="226243"/>
        </a:xfrm>
        <a:prstGeom xmlns:a="http://schemas.openxmlformats.org/drawingml/2006/main" prst="rect">
          <a:avLst/>
        </a:prstGeom>
        <a:solidFill>
          <a:schemeClr val="bg2"/>
        </a:solidFill>
        <a:l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xmlns:a="http://schemas.openxmlformats.org/drawingml/2006/main">
        <a:bodyPr vertOverflow="clip" vert="horz" wrap="none" lIns="45720" tIns="45720" rIns="45720" bIns="45720" anchor="t" anchorCtr="0">
          <a:normAutofit/>
        </a:bodyPr>
        <a:lstStyle/>
        <a:p>
          <a:r>
            <a:rPr lang="en-US" sz="1000">
              <a:solidFill>
                <a:sysClr val="windowText" lastClr="000000"/>
              </a:solidFill>
              <a:latin typeface="Times New Roman" panose="02020603050405020304" charset="0"/>
              <a:cs typeface="Times New Roman" panose="02020603050405020304" charset="0"/>
            </a:rPr>
            <a:t>32</a:t>
          </a:r>
          <a:endParaRPr lang="en-US" sz="1000">
            <a:solidFill>
              <a:sysClr val="windowText" lastClr="000000"/>
            </a:solidFill>
            <a:latin typeface="Times New Roman" panose="02020603050405020304" charset="0"/>
            <a:cs typeface="Times New Roman" panose="02020603050405020304"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35</Pages>
  <Words>364</Words>
  <Characters>2211</Characters>
  <Lines>450</Lines>
  <Paragraphs>126</Paragraphs>
  <TotalTime>28</TotalTime>
  <ScaleCrop>false</ScaleCrop>
  <LinksUpToDate>false</LinksUpToDate>
  <CharactersWithSpaces>2676</CharactersWithSpaces>
  <Application>WPS Office_12.1.0.26880_F1E327BC-269C-435d-A152-05C5408002CA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2024-07-05T12:22:00Z</dcterms:created>
  <dc:creator>Windows User</dc:creator>
  <cp:lastModifiedBy>user</cp:lastModifiedBy>
  <dcterms:modified xsi:type="dcterms:W3CDTF">2026-07-09T06:50:00Z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1033-12.1.0.26880</vt:lpwstr>
  </property>
  <property fmtid="{D5CDD505-2E9C-101B-9397-08002B2CF9AE}" pid="3" name="ICV">
    <vt:lpwstr>2160E96318984B1991DF2D02981519BD_13</vt:lpwstr>
  </property>
</Properties>
</file>